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974578"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 xml:space="preserve">3GPP TSG RAN </w:t>
      </w:r>
      <w:r w:rsidR="000C6458" w:rsidRPr="000C6458">
        <w:rPr>
          <w:rFonts w:ascii="Arial" w:hAnsi="Arial" w:cs="Arial"/>
          <w:b/>
          <w:bCs/>
          <w:snapToGrid w:val="0"/>
          <w:sz w:val="24"/>
          <w:lang w:val="en-GB"/>
        </w:rPr>
        <w:t>Meeting #10</w:t>
      </w:r>
      <w:r w:rsidR="00974578">
        <w:rPr>
          <w:rFonts w:ascii="Arial" w:hAnsi="Arial" w:cs="Arial"/>
          <w:b/>
          <w:bCs/>
          <w:snapToGrid w:val="0"/>
          <w:sz w:val="24"/>
          <w:lang w:val="en-GB"/>
        </w:rPr>
        <w:t>6</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00241F99">
        <w:rPr>
          <w:rFonts w:ascii="Arial" w:hAnsi="Arial" w:cs="Arial"/>
          <w:b/>
          <w:bCs/>
          <w:snapToGrid w:val="0"/>
          <w:sz w:val="24"/>
          <w:lang w:val="en-GB"/>
        </w:rPr>
        <w:t xml:space="preserve"> </w:t>
      </w:r>
      <w:r w:rsidR="0019105C" w:rsidRPr="0019105C">
        <w:rPr>
          <w:rFonts w:ascii="Arial" w:hAnsi="Arial" w:cs="Arial"/>
          <w:b/>
          <w:bCs/>
          <w:snapToGrid w:val="0"/>
          <w:sz w:val="24"/>
          <w:lang w:val="en-GB"/>
        </w:rPr>
        <w:t>RP-242808</w:t>
      </w:r>
    </w:p>
    <w:p w:rsidR="00C11716" w:rsidRPr="00151E6E" w:rsidRDefault="00AD4AAD" w:rsidP="00C11716">
      <w:pPr>
        <w:pBdr>
          <w:bottom w:val="single" w:sz="12" w:space="1" w:color="auto"/>
        </w:pBdr>
        <w:adjustRightInd w:val="0"/>
        <w:snapToGrid w:val="0"/>
        <w:spacing w:line="360" w:lineRule="auto"/>
        <w:rPr>
          <w:rFonts w:ascii="Arial" w:eastAsia="MS Mincho" w:hAnsi="Arial" w:cs="Arial"/>
          <w:b/>
          <w:bCs/>
          <w:sz w:val="24"/>
          <w:lang w:eastAsia="ja-JP"/>
        </w:rPr>
      </w:pPr>
      <w:r>
        <w:rPr>
          <w:rFonts w:ascii="Arial" w:eastAsia="MS Mincho" w:hAnsi="Arial" w:cs="Arial"/>
          <w:b/>
          <w:bCs/>
          <w:sz w:val="24"/>
          <w:lang w:eastAsia="ja-JP"/>
        </w:rPr>
        <w:t>Madrid</w:t>
      </w:r>
      <w:r w:rsidR="00194A07" w:rsidRPr="00194A07">
        <w:rPr>
          <w:rFonts w:ascii="Arial" w:eastAsia="MS Mincho" w:hAnsi="Arial" w:cs="Arial"/>
          <w:b/>
          <w:bCs/>
          <w:sz w:val="24"/>
          <w:lang w:eastAsia="ja-JP"/>
        </w:rPr>
        <w:t xml:space="preserve">, </w:t>
      </w:r>
      <w:r>
        <w:rPr>
          <w:rFonts w:ascii="Arial" w:eastAsia="MS Mincho" w:hAnsi="Arial" w:cs="Arial"/>
          <w:b/>
          <w:bCs/>
          <w:sz w:val="24"/>
          <w:lang w:eastAsia="ja-JP"/>
        </w:rPr>
        <w:t>Spain</w:t>
      </w:r>
      <w:r w:rsidR="00194A07" w:rsidRPr="00194A07">
        <w:rPr>
          <w:rFonts w:ascii="Arial" w:eastAsia="MS Mincho" w:hAnsi="Arial" w:cs="Arial"/>
          <w:b/>
          <w:bCs/>
          <w:sz w:val="24"/>
          <w:lang w:eastAsia="ja-JP"/>
        </w:rPr>
        <w:t xml:space="preserve">, </w:t>
      </w:r>
      <w:r>
        <w:rPr>
          <w:rFonts w:ascii="Arial" w:eastAsia="MS Mincho" w:hAnsi="Arial" w:cs="Arial"/>
          <w:b/>
          <w:bCs/>
          <w:sz w:val="24"/>
          <w:lang w:eastAsia="ja-JP"/>
        </w:rPr>
        <w:t>December</w:t>
      </w:r>
      <w:r w:rsidR="00194A07" w:rsidRPr="00194A07">
        <w:rPr>
          <w:rFonts w:ascii="Arial" w:eastAsia="MS Mincho" w:hAnsi="Arial" w:cs="Arial"/>
          <w:b/>
          <w:bCs/>
          <w:sz w:val="24"/>
          <w:lang w:eastAsia="ja-JP"/>
        </w:rPr>
        <w:t xml:space="preserve"> </w:t>
      </w:r>
      <w:r>
        <w:rPr>
          <w:rFonts w:ascii="Arial" w:eastAsia="MS Mincho" w:hAnsi="Arial" w:cs="Arial"/>
          <w:b/>
          <w:bCs/>
          <w:sz w:val="24"/>
          <w:lang w:eastAsia="ja-JP"/>
        </w:rPr>
        <w:t>9</w:t>
      </w:r>
      <w:r w:rsidR="00194A07" w:rsidRPr="00194A07">
        <w:rPr>
          <w:rFonts w:ascii="Arial" w:eastAsia="MS Mincho" w:hAnsi="Arial" w:cs="Arial"/>
          <w:b/>
          <w:bCs/>
          <w:sz w:val="24"/>
          <w:lang w:eastAsia="ja-JP"/>
        </w:rPr>
        <w:t>-</w:t>
      </w:r>
      <w:r>
        <w:rPr>
          <w:rFonts w:ascii="Arial" w:eastAsia="MS Mincho" w:hAnsi="Arial" w:cs="Arial"/>
          <w:b/>
          <w:bCs/>
          <w:sz w:val="24"/>
          <w:lang w:eastAsia="ja-JP"/>
        </w:rPr>
        <w:t>12</w:t>
      </w:r>
      <w:r w:rsidR="00194A07" w:rsidRPr="00194A07">
        <w:rPr>
          <w:rFonts w:ascii="Arial" w:eastAsia="MS Mincho" w:hAnsi="Arial" w:cs="Arial"/>
          <w:b/>
          <w:bCs/>
          <w:sz w:val="24"/>
          <w:lang w:eastAsia="ja-JP"/>
        </w:rPr>
        <w:t>, 2024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325998">
        <w:rPr>
          <w:rFonts w:ascii="Arial" w:eastAsia="MS Mincho" w:hAnsi="Arial"/>
          <w:kern w:val="0"/>
          <w:sz w:val="24"/>
          <w:szCs w:val="20"/>
          <w:lang w:eastAsia="en-US"/>
        </w:rPr>
        <w:t>10</w:t>
      </w:r>
      <w:r w:rsidR="005077F0">
        <w:rPr>
          <w:rFonts w:ascii="Arial" w:eastAsia="MS Mincho" w:hAnsi="Arial"/>
          <w:kern w:val="0"/>
          <w:sz w:val="24"/>
          <w:szCs w:val="20"/>
          <w:lang w:eastAsia="en-US"/>
        </w:rPr>
        <w:t>.</w:t>
      </w:r>
      <w:r w:rsidR="00A65E0C">
        <w:rPr>
          <w:rFonts w:ascii="Arial" w:eastAsia="MS Mincho" w:hAnsi="Arial"/>
          <w:kern w:val="0"/>
          <w:sz w:val="24"/>
          <w:szCs w:val="20"/>
          <w:lang w:eastAsia="en-US"/>
        </w:rPr>
        <w:t>4</w:t>
      </w:r>
      <w:r w:rsidR="005077F0">
        <w:rPr>
          <w:rFonts w:ascii="Arial" w:eastAsia="MS Mincho" w:hAnsi="Arial"/>
          <w:kern w:val="0"/>
          <w:sz w:val="24"/>
          <w:szCs w:val="20"/>
          <w:lang w:eastAsia="en-US"/>
        </w:rPr>
        <w:t>.</w:t>
      </w:r>
      <w:r w:rsidR="00A65E0C">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918AF" w:rsidRPr="00B918AF">
        <w:rPr>
          <w:rFonts w:ascii="Arial" w:eastAsia="맑은 고딕" w:hAnsi="Arial"/>
          <w:spacing w:val="-4"/>
          <w:kern w:val="0"/>
          <w:sz w:val="24"/>
          <w:szCs w:val="20"/>
        </w:rPr>
        <w:t xml:space="preserve">Discussion on </w:t>
      </w:r>
      <w:r w:rsidR="00B5629D">
        <w:rPr>
          <w:rFonts w:ascii="Arial" w:eastAsia="맑은 고딕" w:hAnsi="Arial"/>
          <w:spacing w:val="-4"/>
          <w:kern w:val="0"/>
          <w:sz w:val="24"/>
          <w:szCs w:val="20"/>
        </w:rPr>
        <w:t>IoT-</w:t>
      </w:r>
      <w:r w:rsidR="00B918AF" w:rsidRPr="00B918AF">
        <w:rPr>
          <w:rFonts w:ascii="Arial" w:eastAsia="맑은 고딕" w:hAnsi="Arial"/>
          <w:spacing w:val="-4"/>
          <w:kern w:val="0"/>
          <w:sz w:val="24"/>
          <w:szCs w:val="20"/>
        </w:rPr>
        <w:t xml:space="preserve">NTN </w:t>
      </w:r>
      <w:r w:rsidR="00B5629D">
        <w:rPr>
          <w:rFonts w:ascii="Arial" w:eastAsia="맑은 고딕" w:hAnsi="Arial"/>
          <w:spacing w:val="-4"/>
          <w:kern w:val="0"/>
          <w:sz w:val="24"/>
          <w:szCs w:val="20"/>
        </w:rPr>
        <w:t>TDD mode</w:t>
      </w:r>
      <w:r w:rsidR="00B918AF" w:rsidRPr="00B918AF">
        <w:rPr>
          <w:rFonts w:ascii="Arial" w:eastAsia="맑은 고딕" w:hAnsi="Arial"/>
          <w:spacing w:val="-4"/>
          <w:kern w:val="0"/>
          <w:sz w:val="24"/>
          <w:szCs w:val="20"/>
        </w:rPr>
        <w:t xml:space="preserve"> in Rel-19</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224E49" w:rsidRDefault="00224E49" w:rsidP="002E7622">
      <w:pPr>
        <w:pStyle w:val="LGTdoc0"/>
        <w:spacing w:afterLines="0" w:after="0" w:line="240" w:lineRule="auto"/>
        <w:ind w:firstLine="425"/>
        <w:rPr>
          <w:rFonts w:ascii="Calibri" w:hAnsi="Calibri" w:cs="Calibri"/>
          <w:szCs w:val="22"/>
        </w:rPr>
      </w:pPr>
      <w:r>
        <w:rPr>
          <w:rFonts w:ascii="Calibri" w:hAnsi="Calibri" w:cs="Calibri" w:hint="eastAsia"/>
          <w:szCs w:val="22"/>
        </w:rPr>
        <w:t xml:space="preserve">There </w:t>
      </w:r>
      <w:r w:rsidR="002D1509">
        <w:rPr>
          <w:rFonts w:ascii="Calibri" w:hAnsi="Calibri" w:cs="Calibri"/>
          <w:szCs w:val="22"/>
        </w:rPr>
        <w:t xml:space="preserve">is a </w:t>
      </w:r>
      <w:r>
        <w:rPr>
          <w:rFonts w:ascii="Calibri" w:hAnsi="Calibri" w:cs="Calibri"/>
          <w:szCs w:val="22"/>
        </w:rPr>
        <w:t>check</w:t>
      </w:r>
      <w:r w:rsidR="00CF435F">
        <w:rPr>
          <w:rFonts w:ascii="Calibri" w:hAnsi="Calibri" w:cs="Calibri"/>
          <w:szCs w:val="22"/>
        </w:rPr>
        <w:t xml:space="preserve"> </w:t>
      </w:r>
      <w:r>
        <w:rPr>
          <w:rFonts w:ascii="Calibri" w:hAnsi="Calibri" w:cs="Calibri"/>
          <w:szCs w:val="22"/>
        </w:rPr>
        <w:t xml:space="preserve">point </w:t>
      </w:r>
      <w:r w:rsidR="00BC4330">
        <w:rPr>
          <w:rFonts w:ascii="Calibri" w:hAnsi="Calibri" w:cs="Calibri"/>
          <w:szCs w:val="22"/>
        </w:rPr>
        <w:t xml:space="preserve">marked </w:t>
      </w:r>
      <w:r>
        <w:rPr>
          <w:rFonts w:ascii="Calibri" w:hAnsi="Calibri" w:cs="Calibri"/>
          <w:szCs w:val="22"/>
        </w:rPr>
        <w:t xml:space="preserve">in yellow below for the results of the study phase </w:t>
      </w:r>
      <w:r w:rsidR="007C7A21">
        <w:rPr>
          <w:rFonts w:ascii="Calibri" w:hAnsi="Calibri" w:cs="Calibri"/>
          <w:szCs w:val="22"/>
        </w:rPr>
        <w:t>on the impact of TDD pattern</w:t>
      </w:r>
      <w:r>
        <w:rPr>
          <w:rFonts w:ascii="Calibri" w:hAnsi="Calibri" w:cs="Calibri"/>
          <w:szCs w:val="22"/>
        </w:rPr>
        <w:t xml:space="preserve"> on the WID of </w:t>
      </w:r>
      <w:r w:rsidR="002D1509" w:rsidRPr="002D1509">
        <w:rPr>
          <w:rFonts w:ascii="Calibri" w:hAnsi="Calibri" w:cs="Calibri"/>
          <w:szCs w:val="22"/>
        </w:rPr>
        <w:t xml:space="preserve">IoT-NTN TDD mode </w:t>
      </w:r>
      <w:r w:rsidR="00265840">
        <w:rPr>
          <w:rFonts w:ascii="Calibri" w:hAnsi="Calibri" w:cs="Calibri"/>
          <w:szCs w:val="22"/>
        </w:rPr>
        <w:t>[1]</w:t>
      </w:r>
      <w:r>
        <w:rPr>
          <w:rFonts w:ascii="Calibri" w:hAnsi="Calibri" w:cs="Calibri"/>
          <w:szCs w:val="22"/>
        </w:rPr>
        <w:t>.</w:t>
      </w:r>
      <w:bookmarkStart w:id="3" w:name="_GoBack"/>
      <w:bookmarkEnd w:id="3"/>
    </w:p>
    <w:p w:rsidR="007000D9" w:rsidRPr="00EB183F" w:rsidRDefault="007000D9" w:rsidP="008C1C7B">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7558ED" w:rsidTr="007558ED">
        <w:tc>
          <w:tcPr>
            <w:tcW w:w="8941" w:type="dxa"/>
          </w:tcPr>
          <w:p w:rsidR="00130A19" w:rsidRDefault="00130A19" w:rsidP="00D74261">
            <w:pPr>
              <w:widowControl/>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rsidR="00D74261" w:rsidRPr="00130A19" w:rsidRDefault="00D74261" w:rsidP="00D74261">
            <w:pPr>
              <w:widowControl/>
              <w:suppressAutoHyphens/>
              <w:wordWrap/>
              <w:overflowPunct w:val="0"/>
              <w:autoSpaceDN/>
              <w:textAlignment w:val="baseline"/>
              <w:rPr>
                <w:rFonts w:ascii="Times New Roman" w:eastAsia="SimSun"/>
                <w:kern w:val="0"/>
                <w:szCs w:val="20"/>
                <w:lang w:eastAsia="ar-SA"/>
              </w:rPr>
            </w:pPr>
          </w:p>
          <w:p w:rsidR="00130A19" w:rsidRDefault="00130A19" w:rsidP="00D74261">
            <w:pPr>
              <w:widowControl/>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The study and work objectives assume the following:</w:t>
            </w:r>
          </w:p>
          <w:p w:rsidR="00D74261" w:rsidRPr="00130A19" w:rsidRDefault="00D74261" w:rsidP="00D74261">
            <w:pPr>
              <w:widowControl/>
              <w:suppressAutoHyphens/>
              <w:wordWrap/>
              <w:overflowPunct w:val="0"/>
              <w:autoSpaceDN/>
              <w:textAlignment w:val="baseline"/>
              <w:rPr>
                <w:rFonts w:ascii="Times New Roman" w:eastAsia="SimSun"/>
                <w:kern w:val="0"/>
                <w:szCs w:val="20"/>
                <w:lang w:eastAsia="ar-SA"/>
              </w:rPr>
            </w:pPr>
          </w:p>
          <w:p w:rsidR="00130A19" w:rsidRPr="00130A19" w:rsidRDefault="00130A19" w:rsidP="00812865">
            <w:pPr>
              <w:widowControl/>
              <w:numPr>
                <w:ilvl w:val="0"/>
                <w:numId w:val="12"/>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 xml:space="preserve">LEO @600 km and @1200 km orbit respectively, with set-1 satellite parameters as reference scenarios (See 3GPP TR 36.763) </w:t>
            </w:r>
          </w:p>
          <w:p w:rsidR="00130A19" w:rsidRPr="00130A19" w:rsidRDefault="00130A19" w:rsidP="00812865">
            <w:pPr>
              <w:widowControl/>
              <w:numPr>
                <w:ilvl w:val="0"/>
                <w:numId w:val="12"/>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Target the 1616-1626.5 MHz MSS allocated band</w:t>
            </w:r>
          </w:p>
          <w:p w:rsidR="00130A19" w:rsidRPr="00130A19" w:rsidRDefault="00130A19" w:rsidP="00812865">
            <w:pPr>
              <w:widowControl/>
              <w:numPr>
                <w:ilvl w:val="0"/>
                <w:numId w:val="12"/>
              </w:numPr>
              <w:suppressAutoHyphens/>
              <w:wordWrap/>
              <w:overflowPunct w:val="0"/>
              <w:autoSpaceDE/>
              <w:autoSpaceDN/>
              <w:textAlignment w:val="baseline"/>
              <w:rPr>
                <w:rFonts w:ascii="Times New Roman" w:eastAsia="Times New Roman"/>
                <w:color w:val="000000"/>
                <w:kern w:val="0"/>
                <w:szCs w:val="20"/>
                <w:lang w:val="en-GB" w:eastAsia="ar-SA"/>
              </w:rPr>
            </w:pPr>
            <w:r w:rsidRPr="00130A19">
              <w:rPr>
                <w:rFonts w:ascii="Times New Roman" w:eastAsia="Times New Roman"/>
                <w:color w:val="000000"/>
                <w:kern w:val="0"/>
                <w:szCs w:val="20"/>
                <w:lang w:val="en-GB" w:eastAsia="ar-SA"/>
              </w:rPr>
              <w:t xml:space="preserve">Standalone deployment with anchor and non-anchor carriers (i.e. operating in carrier(s) used only for NB-IoT) </w:t>
            </w:r>
          </w:p>
          <w:p w:rsidR="00130A19" w:rsidRPr="00130A19" w:rsidRDefault="00130A19" w:rsidP="00812865">
            <w:pPr>
              <w:widowControl/>
              <w:numPr>
                <w:ilvl w:val="0"/>
                <w:numId w:val="12"/>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Operate with Earth fixed Tracking area, with either Earth fixed cells or Earth moving cells for NGSO</w:t>
            </w:r>
          </w:p>
          <w:p w:rsidR="00130A19" w:rsidRPr="00130A19" w:rsidRDefault="00130A19" w:rsidP="00812865">
            <w:pPr>
              <w:widowControl/>
              <w:numPr>
                <w:ilvl w:val="0"/>
                <w:numId w:val="12"/>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130A19">
              <w:rPr>
                <w:rFonts w:ascii="Aptos" w:eastAsia="DengXian" w:hAnsi="Calibri"/>
                <w:color w:val="000000"/>
                <w:kern w:val="24"/>
                <w:sz w:val="30"/>
                <w:szCs w:val="30"/>
                <w:lang w:eastAsia="ar-SA"/>
              </w:rPr>
              <w:t xml:space="preserve"> </w:t>
            </w:r>
            <w:r w:rsidRPr="00130A19">
              <w:rPr>
                <w:rFonts w:ascii="Times New Roman" w:eastAsia="SimSun"/>
                <w:kern w:val="0"/>
                <w:szCs w:val="20"/>
                <w:lang w:eastAsia="ar-SA"/>
              </w:rPr>
              <w:t>No blind detection is assumed at the UE side. The value of N and the configuration of the periodic pattern are fixed per band.</w:t>
            </w:r>
          </w:p>
          <w:p w:rsidR="00130A19" w:rsidRPr="00130A19" w:rsidRDefault="00130A19" w:rsidP="00D74261">
            <w:pPr>
              <w:widowControl/>
              <w:wordWrap/>
              <w:autoSpaceDE/>
              <w:autoSpaceDN/>
              <w:rPr>
                <w:rFonts w:ascii="Times New Roman" w:eastAsia="SimSun"/>
                <w:kern w:val="0"/>
                <w:szCs w:val="20"/>
                <w:lang w:eastAsia="ar-SA"/>
              </w:rPr>
            </w:pPr>
          </w:p>
          <w:p w:rsidR="00130A19" w:rsidRDefault="00130A19" w:rsidP="00D74261">
            <w:pPr>
              <w:widowControl/>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This work item includes the following objectives:</w:t>
            </w:r>
          </w:p>
          <w:p w:rsidR="00D74261" w:rsidRPr="00130A19" w:rsidRDefault="00D74261" w:rsidP="00D74261">
            <w:pPr>
              <w:widowControl/>
              <w:suppressAutoHyphens/>
              <w:wordWrap/>
              <w:overflowPunct w:val="0"/>
              <w:autoSpaceDN/>
              <w:textAlignment w:val="baseline"/>
              <w:rPr>
                <w:rFonts w:ascii="Times New Roman" w:eastAsia="SimSun"/>
                <w:kern w:val="0"/>
                <w:szCs w:val="20"/>
                <w:lang w:eastAsia="ar-SA"/>
              </w:rPr>
            </w:pPr>
          </w:p>
          <w:p w:rsidR="00130A19" w:rsidRPr="00130A19" w:rsidRDefault="00130A19" w:rsidP="00812865">
            <w:pPr>
              <w:widowControl/>
              <w:numPr>
                <w:ilvl w:val="0"/>
                <w:numId w:val="11"/>
              </w:numPr>
              <w:suppressAutoHyphens/>
              <w:wordWrap/>
              <w:overflowPunct w:val="0"/>
              <w:autoSpaceDE/>
              <w:autoSpaceDN/>
              <w:textAlignment w:val="baseline"/>
              <w:rPr>
                <w:rFonts w:ascii="Times New Roman" w:eastAsia="SimSun"/>
                <w:kern w:val="0"/>
                <w:szCs w:val="20"/>
                <w:lang w:eastAsia="ar-SA"/>
              </w:rPr>
            </w:pPr>
            <w:r w:rsidRPr="00130A19">
              <w:rPr>
                <w:rFonts w:ascii="Times New Roman" w:eastAsia="SimSun"/>
                <w:kern w:val="0"/>
                <w:szCs w:val="20"/>
                <w:lang w:eastAsia="ar-SA"/>
              </w:rPr>
              <w:t xml:space="preserve">Study the impact </w:t>
            </w:r>
            <w:r w:rsidRPr="00130A19">
              <w:rPr>
                <w:rFonts w:ascii="Times New Roman" w:eastAsia="SimSun"/>
                <w:bCs/>
                <w:kern w:val="0"/>
                <w:szCs w:val="20"/>
                <w:lang w:eastAsia="ar-SA"/>
              </w:rPr>
              <w:t>due to the periodic pattern</w:t>
            </w:r>
            <w:r w:rsidRPr="00130A19">
              <w:rPr>
                <w:rFonts w:ascii="Times New Roman" w:eastAsia="SimSun"/>
                <w:kern w:val="0"/>
                <w:szCs w:val="20"/>
                <w:lang w:eastAsia="ar-SA"/>
              </w:rPr>
              <w:t>, at least on UE downlink synchronization and other aspects (if identified) [RAN1, RAN4]</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highlight w:val="yellow"/>
                <w:lang w:eastAsia="ar-SA"/>
              </w:rPr>
              <w:t>Checkpoint in RAN#106 for the completion of the study phase. RAN1 start from Oct’24. RAN4 start from Nov’24</w:t>
            </w:r>
          </w:p>
          <w:p w:rsidR="00130A19" w:rsidRPr="00130A19" w:rsidRDefault="00130A19" w:rsidP="00812865">
            <w:pPr>
              <w:widowControl/>
              <w:numPr>
                <w:ilvl w:val="0"/>
                <w:numId w:val="11"/>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Specify a new NB-IoT TDD NTN mode based on minimum necessary changes to the NB-IoT NTN FDD frame structure and procedures, based on the outcome of the study, including:</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Definition, configuration (if needed) and signaling (if needed) of the periodic pattern including confirming the value of N, and associated UE procedures [RAN1, RAN2]</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Other necessary impacts on higher layers [RAN2]</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RRM and RF core requirements [RAN4]</w:t>
            </w:r>
          </w:p>
          <w:p w:rsidR="00130A19" w:rsidRPr="00130A19" w:rsidRDefault="00130A19" w:rsidP="00812865">
            <w:pPr>
              <w:widowControl/>
              <w:numPr>
                <w:ilvl w:val="0"/>
                <w:numId w:val="11"/>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Specify a new NB-IoT TDD operating NTN band for the MSS allocation spanning 1616-1626.5 MHz for DL and UL, based on the outcome of the study, to be used as example band for this WI [RAN4].</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Specify band numbering</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Specify SAN and UE RF characteristics</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Specify DL and UL channelization.</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hint="cs"/>
                <w:kern w:val="0"/>
                <w:szCs w:val="20"/>
                <w:lang w:eastAsia="ar-SA"/>
              </w:rPr>
              <w:t>S</w:t>
            </w:r>
            <w:r w:rsidRPr="00130A19">
              <w:rPr>
                <w:rFonts w:ascii="Times New Roman" w:eastAsia="SimSun"/>
                <w:kern w:val="0"/>
                <w:szCs w:val="20"/>
                <w:lang w:eastAsia="ar-SA"/>
              </w:rPr>
              <w:t>pecify channel bandwidth as 200 kHz</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Note1: No NTN-NTN coexistence study needed.</w:t>
            </w:r>
          </w:p>
          <w:p w:rsidR="00130A19" w:rsidRPr="00130A19" w:rsidRDefault="00130A19" w:rsidP="00812865">
            <w:pPr>
              <w:widowControl/>
              <w:numPr>
                <w:ilvl w:val="1"/>
                <w:numId w:val="13"/>
              </w:numPr>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t>Note2: Leverage existing work as much as possible for TN-NTN coexistence of adjacent bands</w:t>
            </w:r>
          </w:p>
          <w:p w:rsidR="00130A19" w:rsidRPr="00130A19" w:rsidRDefault="00130A19" w:rsidP="00D74261">
            <w:pPr>
              <w:widowControl/>
              <w:suppressAutoHyphens/>
              <w:wordWrap/>
              <w:overflowPunct w:val="0"/>
              <w:autoSpaceDN/>
              <w:ind w:left="1080"/>
              <w:textAlignment w:val="baseline"/>
              <w:rPr>
                <w:rFonts w:ascii="Times New Roman" w:eastAsia="SimSun"/>
                <w:kern w:val="0"/>
                <w:szCs w:val="20"/>
                <w:lang w:eastAsia="ar-SA"/>
              </w:rPr>
            </w:pPr>
          </w:p>
          <w:p w:rsidR="00130A19" w:rsidRPr="00D74261" w:rsidRDefault="00130A19" w:rsidP="00D74261">
            <w:pPr>
              <w:widowControl/>
              <w:suppressAutoHyphens/>
              <w:wordWrap/>
              <w:overflowPunct w:val="0"/>
              <w:autoSpaceDN/>
              <w:textAlignment w:val="baseline"/>
              <w:rPr>
                <w:rFonts w:ascii="Times New Roman" w:eastAsia="SimSun"/>
                <w:kern w:val="0"/>
                <w:szCs w:val="20"/>
                <w:lang w:eastAsia="ar-SA"/>
              </w:rPr>
            </w:pPr>
            <w:r w:rsidRPr="00130A19">
              <w:rPr>
                <w:rFonts w:ascii="Times New Roman" w:eastAsia="SimSun"/>
                <w:kern w:val="0"/>
                <w:szCs w:val="20"/>
                <w:lang w:eastAsia="ar-SA"/>
              </w:rPr>
              <w:lastRenderedPageBreak/>
              <w:t>Note3: Reuse the existing RAN4 requirements as much as possible (no intention to have any relaxation of the RF emissions requirements)</w:t>
            </w:r>
          </w:p>
        </w:tc>
      </w:tr>
    </w:tbl>
    <w:p w:rsidR="007558ED" w:rsidRDefault="007558ED" w:rsidP="008C1C7B">
      <w:pPr>
        <w:pStyle w:val="LGTdoc0"/>
        <w:spacing w:afterLines="0" w:after="0" w:line="240" w:lineRule="auto"/>
        <w:rPr>
          <w:rFonts w:ascii="Calibri" w:hAnsi="Calibri" w:cs="Calibri"/>
          <w:szCs w:val="22"/>
        </w:rPr>
      </w:pPr>
    </w:p>
    <w:p w:rsidR="002E19ED" w:rsidRDefault="002E19ED" w:rsidP="002E19ED">
      <w:pPr>
        <w:pStyle w:val="LGTdoc0"/>
        <w:spacing w:afterLines="0" w:after="0" w:line="240" w:lineRule="auto"/>
        <w:rPr>
          <w:rFonts w:ascii="Calibri" w:hAnsi="Calibri" w:cs="Calibri"/>
          <w:szCs w:val="22"/>
        </w:rPr>
      </w:pPr>
      <w:r>
        <w:rPr>
          <w:rFonts w:ascii="Calibri" w:hAnsi="Calibri" w:cs="Calibri"/>
          <w:szCs w:val="22"/>
        </w:rPr>
        <w:t xml:space="preserve">In this contribution, we will provide our view on </w:t>
      </w:r>
      <w:r w:rsidR="00AB411B">
        <w:rPr>
          <w:rFonts w:ascii="Calibri" w:hAnsi="Calibri" w:cs="Calibri"/>
          <w:szCs w:val="22"/>
        </w:rPr>
        <w:t>the completion of the study phase described above and the start of its normative work</w:t>
      </w:r>
      <w:r>
        <w:rPr>
          <w:rFonts w:ascii="Calibri" w:hAnsi="Calibri" w:cs="Calibri"/>
          <w:szCs w:val="22"/>
        </w:rPr>
        <w:t>.</w:t>
      </w:r>
    </w:p>
    <w:p w:rsidR="007558ED" w:rsidRPr="002E19ED" w:rsidRDefault="007558ED"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F59DF" w:rsidRDefault="002F59DF" w:rsidP="002F59DF">
      <w:pPr>
        <w:pStyle w:val="LGTdoc0"/>
        <w:spacing w:afterLines="0" w:after="0" w:line="240" w:lineRule="auto"/>
        <w:ind w:firstLine="425"/>
        <w:rPr>
          <w:rFonts w:ascii="Calibri" w:hAnsi="Calibri" w:cs="Calibri"/>
          <w:szCs w:val="22"/>
        </w:rPr>
      </w:pPr>
      <w:r>
        <w:rPr>
          <w:rFonts w:ascii="Calibri" w:hAnsi="Calibri" w:cs="Calibri"/>
          <w:szCs w:val="22"/>
        </w:rPr>
        <w:t>RAN1 has made the following agreements</w:t>
      </w:r>
      <w:r w:rsidR="006C14E3">
        <w:rPr>
          <w:rFonts w:ascii="Calibri" w:hAnsi="Calibri" w:cs="Calibri"/>
          <w:szCs w:val="22"/>
        </w:rPr>
        <w:t>/observations/conclusions</w:t>
      </w:r>
      <w:r>
        <w:rPr>
          <w:rFonts w:ascii="Calibri" w:hAnsi="Calibri" w:cs="Calibri"/>
          <w:szCs w:val="22"/>
        </w:rPr>
        <w:t xml:space="preserve"> during the study phase to </w:t>
      </w:r>
      <w:r w:rsidR="00572E42">
        <w:rPr>
          <w:rFonts w:ascii="Calibri" w:hAnsi="Calibri" w:cs="Calibri"/>
          <w:szCs w:val="22"/>
        </w:rPr>
        <w:t>analyse</w:t>
      </w:r>
      <w:r>
        <w:rPr>
          <w:rFonts w:ascii="Calibri" w:hAnsi="Calibri" w:cs="Calibri"/>
          <w:szCs w:val="22"/>
        </w:rPr>
        <w:t xml:space="preserve"> the impact of TDD pattern on various aspects including DL synchronization. </w:t>
      </w:r>
    </w:p>
    <w:p w:rsidR="00CF51B2" w:rsidRPr="00572E42" w:rsidRDefault="00CF51B2" w:rsidP="00211ED2">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CF51B2" w:rsidTr="00CF51B2">
        <w:tc>
          <w:tcPr>
            <w:tcW w:w="8941" w:type="dxa"/>
          </w:tcPr>
          <w:p w:rsidR="00A842C0" w:rsidRPr="00A842C0" w:rsidRDefault="00A842C0" w:rsidP="00A842C0">
            <w:pPr>
              <w:widowControl/>
              <w:wordWrap/>
              <w:autoSpaceDE/>
              <w:autoSpaceDN/>
              <w:rPr>
                <w:rFonts w:ascii="Times" w:hAnsi="Times"/>
                <w:b/>
                <w:bCs/>
                <w:kern w:val="0"/>
                <w:lang w:eastAsia="en-US"/>
              </w:rPr>
            </w:pPr>
            <w:r w:rsidRPr="00A842C0">
              <w:rPr>
                <w:rFonts w:ascii="Times" w:hAnsi="Times"/>
                <w:b/>
                <w:bCs/>
                <w:kern w:val="0"/>
                <w:lang w:eastAsia="en-US"/>
              </w:rPr>
              <w:t>Observation</w:t>
            </w: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RAN1 makes the following observations on downlink synchronization:</w:t>
            </w:r>
          </w:p>
          <w:p w:rsidR="00A842C0" w:rsidRPr="00A842C0" w:rsidRDefault="00A842C0" w:rsidP="00A842C0">
            <w:pPr>
              <w:widowControl/>
              <w:wordWrap/>
              <w:autoSpaceDE/>
              <w:autoSpaceDN/>
              <w:rPr>
                <w:rFonts w:ascii="Times" w:hAnsi="Times"/>
                <w:kern w:val="0"/>
                <w:sz w:val="6"/>
                <w:szCs w:val="6"/>
                <w:lang w:eastAsia="en-US"/>
              </w:rPr>
            </w:pP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Case 1: For N=9, D=8:</w:t>
            </w:r>
          </w:p>
          <w:p w:rsidR="00A842C0" w:rsidRPr="00A842C0" w:rsidRDefault="00A842C0" w:rsidP="00302689">
            <w:pPr>
              <w:widowControl/>
              <w:numPr>
                <w:ilvl w:val="0"/>
                <w:numId w:val="12"/>
              </w:numPr>
              <w:wordWrap/>
              <w:autoSpaceDE/>
              <w:autoSpaceDN/>
              <w:adjustRightInd w:val="0"/>
              <w:snapToGrid w:val="0"/>
              <w:rPr>
                <w:rFonts w:ascii="Times" w:hAnsi="Times"/>
                <w:kern w:val="0"/>
                <w:lang w:eastAsia="x-none"/>
              </w:rPr>
            </w:pPr>
            <w:r w:rsidRPr="00A842C0">
              <w:rPr>
                <w:rFonts w:ascii="Times" w:hAnsi="Times"/>
                <w:kern w:val="0"/>
                <w:lang w:eastAsia="x-none"/>
              </w:rPr>
              <w:t>For NPSS:</w:t>
            </w:r>
          </w:p>
          <w:p w:rsidR="00A842C0" w:rsidRPr="00A842C0" w:rsidRDefault="00A842C0" w:rsidP="00302689">
            <w:pPr>
              <w:widowControl/>
              <w:numPr>
                <w:ilvl w:val="1"/>
                <w:numId w:val="12"/>
              </w:numPr>
              <w:wordWrap/>
              <w:autoSpaceDE/>
              <w:autoSpaceDN/>
              <w:adjustRightInd w:val="0"/>
              <w:snapToGrid w:val="0"/>
              <w:rPr>
                <w:rFonts w:ascii="Times New Roman" w:eastAsia="SimSun"/>
                <w:kern w:val="0"/>
                <w:szCs w:val="20"/>
                <w:lang w:eastAsia="zh-CN"/>
              </w:rPr>
            </w:pPr>
            <w:r w:rsidRPr="00A842C0">
              <w:rPr>
                <w:rFonts w:ascii="Times New Roman" w:eastAsia="SimSun"/>
                <w:kern w:val="0"/>
                <w:szCs w:val="20"/>
                <w:lang w:eastAsia="zh-CN"/>
              </w:rPr>
              <w:t>For one-shot detection (90ms delay), 9 sources provided simulation results, with a median required SNR of 1.30dB. The link budget margin is (median margin):</w:t>
            </w:r>
          </w:p>
          <w:p w:rsidR="00A842C0" w:rsidRPr="00A842C0" w:rsidRDefault="00A842C0" w:rsidP="0030268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 xml:space="preserve">4.21 dB for LEO-1200 (0dBi antenna gain) </w:t>
            </w:r>
          </w:p>
          <w:p w:rsidR="00A842C0" w:rsidRPr="00A842C0" w:rsidRDefault="00A842C0" w:rsidP="0030268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-1.89 dB for LEO-600 (-5.5dBi antenna gain).</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two-shot detection (180ms delay), 3 sources provided simulation results, with a median required SNR of -1.20dB. The link budget margin is (median margin):</w:t>
            </w:r>
          </w:p>
          <w:p w:rsidR="00A842C0" w:rsidRPr="00A842C0" w:rsidRDefault="00A842C0" w:rsidP="0030268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 xml:space="preserve">6.71dB for LEO 1200 (0dBi antenna gain) </w:t>
            </w:r>
          </w:p>
          <w:p w:rsidR="00A842C0" w:rsidRPr="00A842C0" w:rsidRDefault="00A842C0" w:rsidP="0030268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0.61dB for LEO-600 (-5.5dBi antenna gain).</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four-shot detection (360ms delay), 3 sources provided simulation results, with a median required SNR of -3.80dB. The link budget margin is (median margin):</w:t>
            </w:r>
          </w:p>
          <w:p w:rsidR="00A842C0" w:rsidRPr="00A842C0" w:rsidRDefault="00A842C0" w:rsidP="0030268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9.31dB for LEO-1200 (0dBi antenna gain)</w:t>
            </w:r>
          </w:p>
          <w:p w:rsidR="00A842C0" w:rsidRPr="00A842C0" w:rsidRDefault="00A842C0" w:rsidP="0030268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3.21dB for LEO-600 (-5.5dBi antenna gain).</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NOTE: The assumptions for combining for 2-shot and 3-shot detection are different across companies.</w:t>
            </w:r>
          </w:p>
          <w:p w:rsidR="00A842C0" w:rsidRPr="00A842C0" w:rsidRDefault="00A842C0" w:rsidP="00A842C0">
            <w:pPr>
              <w:widowControl/>
              <w:numPr>
                <w:ilvl w:val="0"/>
                <w:numId w:val="12"/>
              </w:numPr>
              <w:wordWrap/>
              <w:autoSpaceDE/>
              <w:autoSpaceDN/>
              <w:rPr>
                <w:rFonts w:ascii="Times" w:hAnsi="Times"/>
                <w:kern w:val="0"/>
                <w:lang w:eastAsia="x-none"/>
              </w:rPr>
            </w:pPr>
            <w:r w:rsidRPr="00A842C0">
              <w:rPr>
                <w:rFonts w:ascii="Times" w:hAnsi="Times"/>
                <w:kern w:val="0"/>
                <w:lang w:eastAsia="x-none"/>
              </w:rPr>
              <w:t>For NSSS:</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one-shot detection (180ms delay), 5 sources provided simulation results, with a median required SNR of -2.50dB. The link budget margin is (median margin):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8.01dB for LEO-1200 (0dBi antenna gain)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 xml:space="preserve">1.91dB for LEO-600 (-5.5dBi antenna gain) </w:t>
            </w:r>
          </w:p>
          <w:p w:rsidR="00A842C0" w:rsidRPr="00A842C0" w:rsidRDefault="00A842C0" w:rsidP="00A842C0">
            <w:pPr>
              <w:widowControl/>
              <w:numPr>
                <w:ilvl w:val="0"/>
                <w:numId w:val="12"/>
              </w:numPr>
              <w:wordWrap/>
              <w:autoSpaceDE/>
              <w:autoSpaceDN/>
              <w:rPr>
                <w:rFonts w:ascii="Times" w:hAnsi="Times"/>
                <w:kern w:val="0"/>
                <w:lang w:eastAsia="x-none"/>
              </w:rPr>
            </w:pPr>
            <w:r w:rsidRPr="00A842C0">
              <w:rPr>
                <w:rFonts w:ascii="Times" w:hAnsi="Times"/>
                <w:kern w:val="0"/>
                <w:lang w:eastAsia="x-none"/>
              </w:rPr>
              <w:t>For NPBCH:</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90ms combining, 4 sources provided simulation results, with a median required SNR of 3.48dB. The link budget margin is (median margin):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2.03dB for LEO-1200 (0dBi antenna gain)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-4.07dB for LEO-600 (-5.5dBi antenna gain)</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640ms combining, 6 sources provided results, with a median required SNR of -4.25dB. The link budget margin is (median margin):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9.76dB for LEO-1200 (0dBi antenna gain)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3.66dB for LEO-600 (-5.5dBi antenna gain)</w:t>
            </w: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Case 2: For N=9, D=20:</w:t>
            </w:r>
          </w:p>
          <w:p w:rsidR="00A842C0" w:rsidRPr="00A842C0" w:rsidRDefault="00A842C0" w:rsidP="00A842C0">
            <w:pPr>
              <w:widowControl/>
              <w:numPr>
                <w:ilvl w:val="0"/>
                <w:numId w:val="12"/>
              </w:numPr>
              <w:wordWrap/>
              <w:autoSpaceDE/>
              <w:autoSpaceDN/>
              <w:rPr>
                <w:rFonts w:ascii="Times" w:hAnsi="Times"/>
                <w:kern w:val="0"/>
                <w:lang w:eastAsia="x-none"/>
              </w:rPr>
            </w:pPr>
            <w:r w:rsidRPr="00A842C0">
              <w:rPr>
                <w:rFonts w:ascii="Times" w:hAnsi="Times"/>
                <w:kern w:val="0"/>
                <w:lang w:eastAsia="x-none"/>
              </w:rPr>
              <w:t>For NPSS:</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a combining of 2 consecutive NPSS (80ms delay), 1 source provided simulation results, with a median required SNR of -0.8dB. The link budget margin is (median margin):</w:t>
            </w:r>
          </w:p>
          <w:p w:rsidR="00A842C0" w:rsidRPr="00A842C0" w:rsidRDefault="00A842C0" w:rsidP="00D71D2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6.31dB for LEO-1200 (0dBi antenna gain)</w:t>
            </w:r>
          </w:p>
          <w:p w:rsidR="00A842C0" w:rsidRPr="00A842C0" w:rsidRDefault="00A842C0" w:rsidP="00D71D2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0.21dB for LEO-600 (-5.5dBi antenna gain)</w:t>
            </w:r>
          </w:p>
          <w:p w:rsidR="00A842C0" w:rsidRPr="00A842C0" w:rsidRDefault="00A842C0" w:rsidP="00A842C0">
            <w:pPr>
              <w:widowControl/>
              <w:numPr>
                <w:ilvl w:val="0"/>
                <w:numId w:val="12"/>
              </w:numPr>
              <w:wordWrap/>
              <w:autoSpaceDE/>
              <w:autoSpaceDN/>
              <w:rPr>
                <w:rFonts w:ascii="Times" w:hAnsi="Times"/>
                <w:kern w:val="0"/>
                <w:lang w:eastAsia="x-none"/>
              </w:rPr>
            </w:pPr>
            <w:r w:rsidRPr="00A842C0">
              <w:rPr>
                <w:rFonts w:ascii="Times" w:hAnsi="Times"/>
                <w:kern w:val="0"/>
                <w:lang w:eastAsia="x-none"/>
              </w:rPr>
              <w:t>For NPBCH:</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640ms combining, 1 source provided simulation results, with a median required SNR of -5.10dB. The link budget margin is (median margin):</w:t>
            </w:r>
          </w:p>
          <w:p w:rsidR="00A842C0" w:rsidRPr="00A842C0" w:rsidRDefault="00A842C0" w:rsidP="00D71D2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10.61dB for LEO-1200 (0dBi antenna gain)</w:t>
            </w:r>
          </w:p>
          <w:p w:rsidR="00A842C0" w:rsidRPr="00A842C0" w:rsidRDefault="00A842C0" w:rsidP="00D71D29">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4.51dB for LEO-600 (-5.5dBi antenna gain)</w:t>
            </w: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Case 3: For N=9, D=30:</w:t>
            </w:r>
          </w:p>
          <w:p w:rsidR="00A842C0" w:rsidRPr="00A842C0" w:rsidRDefault="00A842C0" w:rsidP="00A842C0">
            <w:pPr>
              <w:widowControl/>
              <w:numPr>
                <w:ilvl w:val="0"/>
                <w:numId w:val="12"/>
              </w:numPr>
              <w:wordWrap/>
              <w:autoSpaceDE/>
              <w:autoSpaceDN/>
              <w:rPr>
                <w:rFonts w:ascii="Times" w:hAnsi="Times"/>
                <w:kern w:val="0"/>
                <w:lang w:eastAsia="x-none"/>
              </w:rPr>
            </w:pPr>
            <w:r w:rsidRPr="00A842C0">
              <w:rPr>
                <w:rFonts w:ascii="Times" w:hAnsi="Times"/>
                <w:kern w:val="0"/>
                <w:lang w:eastAsia="x-none"/>
              </w:rPr>
              <w:t>For NPSS:</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combining of 3 consecutive NPSS (90ms delay), 1 source provided simulation results, with a median required SNR of -2.4 dB. The link budget margin is (median margin):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7.91dB for LEO-1200 (0dBi antenna gain)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1.81dB for LEO-600 (-5.5dBi antenna gain)</w:t>
            </w:r>
          </w:p>
          <w:p w:rsidR="00A842C0" w:rsidRPr="00A842C0" w:rsidRDefault="00A842C0" w:rsidP="00A842C0">
            <w:pPr>
              <w:widowControl/>
              <w:numPr>
                <w:ilvl w:val="0"/>
                <w:numId w:val="12"/>
              </w:numPr>
              <w:wordWrap/>
              <w:autoSpaceDE/>
              <w:autoSpaceDN/>
              <w:rPr>
                <w:rFonts w:ascii="Times" w:hAnsi="Times"/>
                <w:kern w:val="0"/>
                <w:lang w:eastAsia="x-none"/>
              </w:rPr>
            </w:pPr>
            <w:r w:rsidRPr="00A842C0">
              <w:rPr>
                <w:rFonts w:ascii="Times" w:hAnsi="Times"/>
                <w:kern w:val="0"/>
                <w:lang w:eastAsia="x-none"/>
              </w:rPr>
              <w:lastRenderedPageBreak/>
              <w:t>For NPBCH:</w:t>
            </w:r>
          </w:p>
          <w:p w:rsidR="00A842C0" w:rsidRPr="00A842C0" w:rsidRDefault="00A842C0" w:rsidP="00A842C0">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For 640ms combining, 1 source provided simulation results, with a median required SNR of</w:t>
            </w:r>
            <w:r w:rsidR="0093769F">
              <w:rPr>
                <w:rFonts w:ascii="Times" w:hAnsi="Times"/>
                <w:kern w:val="0"/>
                <w:lang w:eastAsia="x-none"/>
              </w:rPr>
              <w:t xml:space="preserve"> </w:t>
            </w:r>
            <w:r w:rsidRPr="00A842C0">
              <w:rPr>
                <w:rFonts w:ascii="Times" w:hAnsi="Times"/>
                <w:kern w:val="0"/>
                <w:lang w:eastAsia="x-none"/>
              </w:rPr>
              <w:t>-7.10dB the link budget margin is (median margin):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12.61dB for LEO-1200 (0dBi antenna gain)</w:t>
            </w:r>
          </w:p>
          <w:p w:rsidR="00A842C0" w:rsidRPr="00A842C0" w:rsidRDefault="00A842C0" w:rsidP="00A842C0">
            <w:pPr>
              <w:widowControl/>
              <w:numPr>
                <w:ilvl w:val="2"/>
                <w:numId w:val="14"/>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6.51dB for LEO-600 (-5.5dBi antenna gain)</w:t>
            </w:r>
          </w:p>
          <w:p w:rsidR="00A842C0" w:rsidRPr="00A842C0" w:rsidRDefault="00A842C0" w:rsidP="00A842C0">
            <w:pPr>
              <w:widowControl/>
              <w:wordWrap/>
              <w:autoSpaceDE/>
              <w:autoSpaceDN/>
              <w:rPr>
                <w:rFonts w:ascii="Times" w:hAnsi="Times"/>
                <w:kern w:val="0"/>
                <w:sz w:val="6"/>
                <w:szCs w:val="6"/>
                <w:lang w:eastAsia="en-US"/>
              </w:rPr>
            </w:pP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NOTE: Other evaluated scenarios (LEO-600 with 0dBi antenna gain, LEO-1200 with -5.5dBi antenna gain, LEO-800 with 0dBi antenna gain) have margins in between LEO-1200 (0dBi antenna gain) and LEO-600 (-5.5dBi antenna gain)</w:t>
            </w: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NOTE: Different companies provided input for different cases. For the companies that evaluated multiple cases, the performance (in terms of acquisition delay) of Case 3 and Case 2 is better than the performance of Case 1.</w:t>
            </w:r>
          </w:p>
          <w:p w:rsidR="00A842C0" w:rsidRPr="00A842C0" w:rsidRDefault="00A842C0" w:rsidP="00A842C0">
            <w:pPr>
              <w:widowControl/>
              <w:wordWrap/>
              <w:autoSpaceDE/>
              <w:autoSpaceDN/>
              <w:rPr>
                <w:rFonts w:ascii="Times" w:hAnsi="Times"/>
                <w:kern w:val="0"/>
                <w:lang w:val="en-GB" w:eastAsia="x-none"/>
              </w:rPr>
            </w:pPr>
          </w:p>
          <w:p w:rsidR="00A842C0" w:rsidRPr="00A842C0" w:rsidRDefault="00A842C0" w:rsidP="00A842C0">
            <w:pPr>
              <w:widowControl/>
              <w:wordWrap/>
              <w:autoSpaceDE/>
              <w:autoSpaceDN/>
              <w:rPr>
                <w:rFonts w:ascii="Times" w:hAnsi="Times"/>
                <w:b/>
                <w:bCs/>
                <w:kern w:val="0"/>
                <w:lang w:eastAsia="en-US"/>
              </w:rPr>
            </w:pPr>
            <w:r w:rsidRPr="00A842C0">
              <w:rPr>
                <w:rFonts w:ascii="Times" w:hAnsi="Times"/>
                <w:b/>
                <w:bCs/>
                <w:kern w:val="0"/>
                <w:lang w:eastAsia="en-US"/>
              </w:rPr>
              <w:t>Observation</w:t>
            </w: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rsidR="00A842C0" w:rsidRPr="00A842C0" w:rsidRDefault="00A842C0" w:rsidP="00D71D29">
            <w:pPr>
              <w:widowControl/>
              <w:numPr>
                <w:ilvl w:val="0"/>
                <w:numId w:val="12"/>
              </w:numPr>
              <w:wordWrap/>
              <w:autoSpaceDE/>
              <w:autoSpaceDN/>
              <w:rPr>
                <w:rFonts w:ascii="Times" w:hAnsi="Times"/>
                <w:kern w:val="0"/>
                <w:lang w:eastAsia="x-none"/>
              </w:rPr>
            </w:pPr>
            <w:r w:rsidRPr="00A842C0">
              <w:rPr>
                <w:rFonts w:ascii="Times" w:hAnsi="Times"/>
                <w:kern w:val="0"/>
                <w:lang w:eastAsia="x-none"/>
              </w:rPr>
              <w:t>Case 1: N=9, D=8</w:t>
            </w:r>
          </w:p>
          <w:p w:rsidR="00A842C0" w:rsidRPr="00A842C0" w:rsidRDefault="00A842C0" w:rsidP="00D71D29">
            <w:pPr>
              <w:widowControl/>
              <w:numPr>
                <w:ilvl w:val="0"/>
                <w:numId w:val="12"/>
              </w:numPr>
              <w:wordWrap/>
              <w:autoSpaceDE/>
              <w:autoSpaceDN/>
              <w:rPr>
                <w:rFonts w:ascii="Times" w:hAnsi="Times"/>
                <w:kern w:val="0"/>
                <w:lang w:eastAsia="x-none"/>
              </w:rPr>
            </w:pPr>
            <w:r w:rsidRPr="00A842C0">
              <w:rPr>
                <w:rFonts w:ascii="Times" w:hAnsi="Times"/>
                <w:kern w:val="0"/>
                <w:lang w:eastAsia="x-none"/>
              </w:rPr>
              <w:t>Case 2: N=9, D=20</w:t>
            </w:r>
          </w:p>
          <w:p w:rsidR="00A842C0" w:rsidRPr="00A842C0" w:rsidRDefault="00A842C0" w:rsidP="00D71D29">
            <w:pPr>
              <w:widowControl/>
              <w:numPr>
                <w:ilvl w:val="0"/>
                <w:numId w:val="12"/>
              </w:numPr>
              <w:wordWrap/>
              <w:autoSpaceDE/>
              <w:autoSpaceDN/>
              <w:rPr>
                <w:rFonts w:ascii="Times" w:hAnsi="Times"/>
                <w:kern w:val="0"/>
                <w:lang w:eastAsia="x-none"/>
              </w:rPr>
            </w:pPr>
            <w:r w:rsidRPr="00A842C0">
              <w:rPr>
                <w:rFonts w:ascii="Times" w:hAnsi="Times"/>
                <w:kern w:val="0"/>
                <w:lang w:eastAsia="x-none"/>
              </w:rPr>
              <w:t>Case 3: N=9, D=30</w:t>
            </w:r>
          </w:p>
          <w:p w:rsidR="00A842C0" w:rsidRPr="00A842C0" w:rsidRDefault="00A842C0" w:rsidP="00A842C0">
            <w:pPr>
              <w:widowControl/>
              <w:wordWrap/>
              <w:autoSpaceDE/>
              <w:autoSpaceDN/>
              <w:rPr>
                <w:rFonts w:ascii="Times" w:hAnsi="Times"/>
                <w:kern w:val="0"/>
                <w:szCs w:val="20"/>
                <w:lang w:val="en-GB" w:eastAsia="x-none"/>
              </w:rPr>
            </w:pPr>
          </w:p>
          <w:p w:rsidR="00A842C0" w:rsidRPr="00A842C0" w:rsidRDefault="00A842C0" w:rsidP="00A842C0">
            <w:pPr>
              <w:widowControl/>
              <w:wordWrap/>
              <w:autoSpaceDE/>
              <w:autoSpaceDN/>
              <w:rPr>
                <w:rFonts w:ascii="Times" w:hAnsi="Times"/>
                <w:b/>
                <w:bCs/>
                <w:kern w:val="0"/>
                <w:szCs w:val="20"/>
                <w:lang w:eastAsia="en-US"/>
              </w:rPr>
            </w:pPr>
            <w:r w:rsidRPr="00A842C0">
              <w:rPr>
                <w:rFonts w:ascii="Times" w:hAnsi="Times"/>
                <w:b/>
                <w:bCs/>
                <w:kern w:val="0"/>
                <w:szCs w:val="20"/>
                <w:lang w:eastAsia="en-US"/>
              </w:rPr>
              <w:t>Observation</w:t>
            </w:r>
          </w:p>
          <w:p w:rsidR="00A842C0" w:rsidRPr="00A842C0" w:rsidRDefault="00A842C0" w:rsidP="00A842C0">
            <w:pPr>
              <w:widowControl/>
              <w:wordWrap/>
              <w:autoSpaceDE/>
              <w:autoSpaceDN/>
              <w:rPr>
                <w:rFonts w:ascii="Times" w:hAnsi="Times"/>
                <w:kern w:val="0"/>
                <w:szCs w:val="20"/>
                <w:lang w:eastAsia="en-US"/>
              </w:rPr>
            </w:pPr>
            <w:r w:rsidRPr="00A842C0">
              <w:rPr>
                <w:rFonts w:ascii="Times" w:hAnsi="Times"/>
                <w:kern w:val="0"/>
                <w:szCs w:val="20"/>
                <w:lang w:eastAsia="en-US"/>
              </w:rPr>
              <w:t>In Rel-19, RAN1 concludes that at least N=9 is feasible from the following points of view:</w:t>
            </w:r>
          </w:p>
          <w:p w:rsidR="00A842C0" w:rsidRPr="00A842C0" w:rsidRDefault="00A842C0" w:rsidP="00A842C0">
            <w:pPr>
              <w:widowControl/>
              <w:numPr>
                <w:ilvl w:val="0"/>
                <w:numId w:val="17"/>
              </w:numPr>
              <w:wordWrap/>
              <w:autoSpaceDE/>
              <w:autoSpaceDN/>
              <w:contextualSpacing/>
              <w:rPr>
                <w:rFonts w:ascii="Times" w:hAnsi="Times"/>
                <w:kern w:val="0"/>
                <w:szCs w:val="20"/>
                <w:lang w:eastAsia="x-none"/>
              </w:rPr>
            </w:pPr>
            <w:r w:rsidRPr="00A842C0">
              <w:rPr>
                <w:rFonts w:ascii="Times" w:hAnsi="Times"/>
                <w:kern w:val="0"/>
                <w:szCs w:val="20"/>
                <w:lang w:eastAsia="x-none"/>
              </w:rPr>
              <w:t>DL synchronization, based on the link level evaluations submitted at RAN#119</w:t>
            </w:r>
          </w:p>
          <w:p w:rsidR="00A842C0" w:rsidRPr="00A842C0" w:rsidRDefault="00A842C0" w:rsidP="00A842C0">
            <w:pPr>
              <w:widowControl/>
              <w:numPr>
                <w:ilvl w:val="0"/>
                <w:numId w:val="17"/>
              </w:numPr>
              <w:wordWrap/>
              <w:autoSpaceDE/>
              <w:autoSpaceDN/>
              <w:contextualSpacing/>
              <w:rPr>
                <w:rFonts w:ascii="Times" w:hAnsi="Times"/>
                <w:kern w:val="0"/>
                <w:szCs w:val="20"/>
                <w:lang w:eastAsia="x-none"/>
              </w:rPr>
            </w:pPr>
            <w:r w:rsidRPr="00A842C0">
              <w:rPr>
                <w:rFonts w:ascii="Times" w:hAnsi="Times"/>
                <w:kern w:val="0"/>
                <w:szCs w:val="20"/>
                <w:lang w:eastAsia="x-none"/>
              </w:rPr>
              <w:t>Coexistence with the TDD frame structure of the legacy system in the 1616-1626.5 MHz MSS band</w:t>
            </w:r>
          </w:p>
          <w:p w:rsidR="00A842C0" w:rsidRPr="00A842C0" w:rsidRDefault="00A842C0" w:rsidP="00A842C0">
            <w:pPr>
              <w:widowControl/>
              <w:wordWrap/>
              <w:autoSpaceDE/>
              <w:autoSpaceDN/>
              <w:rPr>
                <w:rFonts w:ascii="Times" w:hAnsi="Times"/>
                <w:kern w:val="0"/>
                <w:szCs w:val="20"/>
                <w:lang w:eastAsia="x-none"/>
              </w:rPr>
            </w:pPr>
          </w:p>
          <w:p w:rsidR="00A842C0" w:rsidRPr="00A842C0" w:rsidRDefault="00A842C0" w:rsidP="00A842C0">
            <w:pPr>
              <w:widowControl/>
              <w:wordWrap/>
              <w:autoSpaceDE/>
              <w:autoSpaceDN/>
              <w:rPr>
                <w:rFonts w:ascii="Times New Roman"/>
                <w:b/>
                <w:kern w:val="0"/>
                <w:szCs w:val="20"/>
                <w:highlight w:val="green"/>
                <w:lang w:val="en-GB" w:eastAsia="x-none"/>
              </w:rPr>
            </w:pPr>
            <w:r w:rsidRPr="00A842C0">
              <w:rPr>
                <w:rFonts w:ascii="Times New Roman"/>
                <w:b/>
                <w:kern w:val="0"/>
                <w:szCs w:val="20"/>
                <w:highlight w:val="green"/>
                <w:lang w:val="en-GB" w:eastAsia="x-none"/>
              </w:rPr>
              <w:t>Agreement</w:t>
            </w:r>
          </w:p>
          <w:p w:rsidR="00A842C0" w:rsidRPr="00A842C0" w:rsidRDefault="00A842C0" w:rsidP="00A842C0">
            <w:pPr>
              <w:widowControl/>
              <w:wordWrap/>
              <w:autoSpaceDE/>
              <w:autoSpaceDN/>
              <w:rPr>
                <w:rFonts w:ascii="Times" w:hAnsi="Times"/>
                <w:kern w:val="0"/>
                <w:szCs w:val="20"/>
                <w:lang w:eastAsia="en-US"/>
              </w:rPr>
            </w:pPr>
            <w:r w:rsidRPr="00A842C0">
              <w:rPr>
                <w:rFonts w:ascii="Times" w:hAnsi="Times"/>
                <w:kern w:val="0"/>
                <w:szCs w:val="20"/>
                <w:lang w:eastAsia="en-US"/>
              </w:rPr>
              <w:t>Regarding operation within the same band as the TDD frame structure of legacy system in the 1.6GHz MSS band (shown below), RAN1 work in Rel-19 considers the following design constraints:</w:t>
            </w:r>
          </w:p>
          <w:p w:rsidR="00A842C0" w:rsidRPr="00A842C0" w:rsidRDefault="00A842C0" w:rsidP="00A842C0">
            <w:pPr>
              <w:widowControl/>
              <w:numPr>
                <w:ilvl w:val="0"/>
                <w:numId w:val="17"/>
              </w:numPr>
              <w:wordWrap/>
              <w:overflowPunct w:val="0"/>
              <w:autoSpaceDE/>
              <w:autoSpaceDN/>
              <w:adjustRightInd w:val="0"/>
              <w:contextualSpacing/>
              <w:textAlignment w:val="baseline"/>
              <w:rPr>
                <w:rFonts w:ascii="Times" w:hAnsi="Times"/>
                <w:kern w:val="0"/>
                <w:szCs w:val="20"/>
                <w:lang w:val="en-GB" w:eastAsia="x-none"/>
              </w:rPr>
            </w:pPr>
            <w:r w:rsidRPr="00A842C0">
              <w:rPr>
                <w:rFonts w:ascii="Times" w:hAnsi="Times"/>
                <w:kern w:val="0"/>
                <w:szCs w:val="20"/>
                <w:lang w:val="en-GB" w:eastAsia="x-none"/>
              </w:rPr>
              <w:t>At the satellite, all downlink NB-IoT channels/signals in a cell can only use one of the downlink slots in the TDD frame structure (DL1, DL2, DL3 or DL4) across 90ms periods.</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szCs w:val="20"/>
                <w:lang w:val="en-GB" w:eastAsia="x-none"/>
              </w:rPr>
            </w:pPr>
            <w:r w:rsidRPr="00A842C0">
              <w:rPr>
                <w:rFonts w:ascii="Times" w:hAnsi="Times"/>
                <w:kern w:val="0"/>
                <w:szCs w:val="20"/>
                <w:lang w:val="en-GB" w:eastAsia="x-none"/>
              </w:rPr>
              <w:t>The same downlink slot is used in all the 90ms periods.</w:t>
            </w:r>
          </w:p>
          <w:p w:rsidR="00A842C0" w:rsidRPr="00A842C0" w:rsidRDefault="00A842C0" w:rsidP="00A842C0">
            <w:pPr>
              <w:widowControl/>
              <w:numPr>
                <w:ilvl w:val="0"/>
                <w:numId w:val="17"/>
              </w:numPr>
              <w:wordWrap/>
              <w:overflowPunct w:val="0"/>
              <w:autoSpaceDE/>
              <w:autoSpaceDN/>
              <w:adjustRightInd w:val="0"/>
              <w:contextualSpacing/>
              <w:textAlignment w:val="baseline"/>
              <w:rPr>
                <w:rFonts w:ascii="Times" w:hAnsi="Times"/>
                <w:kern w:val="0"/>
                <w:szCs w:val="20"/>
                <w:lang w:eastAsia="x-none"/>
              </w:rPr>
            </w:pPr>
            <w:r w:rsidRPr="00A842C0">
              <w:rPr>
                <w:rFonts w:ascii="Times" w:hAnsi="Times"/>
                <w:kern w:val="0"/>
                <w:szCs w:val="20"/>
                <w:lang w:val="en-GB" w:eastAsia="x-none"/>
              </w:rPr>
              <w:t>At the satellite, all uplink NB-IoT channels in a cell can only use one of the uplink slots in the TDD frame structure (UL1, UL2, UL3 or UL4) across 90ms periods</w:t>
            </w:r>
            <w:r w:rsidRPr="00A842C0">
              <w:rPr>
                <w:rFonts w:ascii="Times" w:hAnsi="Times"/>
                <w:kern w:val="0"/>
                <w:szCs w:val="20"/>
                <w:lang w:eastAsia="x-none"/>
              </w:rPr>
              <w:t>.</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szCs w:val="20"/>
                <w:lang w:val="en-GB" w:eastAsia="x-none"/>
              </w:rPr>
            </w:pPr>
            <w:r w:rsidRPr="00A842C0">
              <w:rPr>
                <w:rFonts w:ascii="Times" w:hAnsi="Times"/>
                <w:kern w:val="0"/>
                <w:szCs w:val="20"/>
                <w:lang w:val="en-GB" w:eastAsia="x-none"/>
              </w:rPr>
              <w:t>The same uplink slot is used in all the 90ms periods.</w:t>
            </w:r>
          </w:p>
          <w:p w:rsidR="00A842C0" w:rsidRPr="00A842C0" w:rsidRDefault="00A842C0" w:rsidP="00A842C0">
            <w:pPr>
              <w:widowControl/>
              <w:numPr>
                <w:ilvl w:val="0"/>
                <w:numId w:val="17"/>
              </w:numPr>
              <w:wordWrap/>
              <w:overflowPunct w:val="0"/>
              <w:autoSpaceDE/>
              <w:autoSpaceDN/>
              <w:adjustRightInd w:val="0"/>
              <w:contextualSpacing/>
              <w:textAlignment w:val="baseline"/>
              <w:rPr>
                <w:rFonts w:ascii="Times" w:hAnsi="Times"/>
                <w:kern w:val="0"/>
                <w:szCs w:val="20"/>
                <w:lang w:eastAsia="x-none"/>
              </w:rPr>
            </w:pPr>
            <w:r w:rsidRPr="00A842C0">
              <w:rPr>
                <w:rFonts w:ascii="Times" w:hAnsi="Times"/>
                <w:kern w:val="0"/>
                <w:szCs w:val="20"/>
                <w:lang w:eastAsia="x-none"/>
              </w:rPr>
              <w:t>The one uplink slot and one downlink slot in the TDD frame structure have the same index (DL1 &amp; UL1, DL2 &amp; UL2, DL3 &amp; UL3, or DL4 &amp; UL4).</w:t>
            </w:r>
          </w:p>
          <w:p w:rsidR="00A842C0" w:rsidRPr="00A842C0" w:rsidRDefault="00A842C0" w:rsidP="00A842C0">
            <w:pPr>
              <w:widowControl/>
              <w:numPr>
                <w:ilvl w:val="0"/>
                <w:numId w:val="17"/>
              </w:numPr>
              <w:wordWrap/>
              <w:overflowPunct w:val="0"/>
              <w:autoSpaceDE/>
              <w:autoSpaceDN/>
              <w:adjustRightInd w:val="0"/>
              <w:contextualSpacing/>
              <w:textAlignment w:val="baseline"/>
              <w:rPr>
                <w:rFonts w:ascii="Times" w:hAnsi="Times"/>
                <w:kern w:val="0"/>
                <w:szCs w:val="20"/>
                <w:lang w:eastAsia="x-none"/>
              </w:rPr>
            </w:pPr>
            <w:r w:rsidRPr="00A842C0">
              <w:rPr>
                <w:rFonts w:ascii="Times" w:hAnsi="Times"/>
                <w:kern w:val="0"/>
                <w:szCs w:val="20"/>
                <w:lang w:val="en-GB" w:eastAsia="x-none"/>
              </w:rPr>
              <w:t>NOTE: this does not imply that the only configuration(s) to be specified are according to these constraints.</w:t>
            </w:r>
          </w:p>
          <w:p w:rsidR="00A842C0" w:rsidRPr="00A842C0" w:rsidRDefault="00A842C0" w:rsidP="00AE0D2C">
            <w:pPr>
              <w:widowControl/>
              <w:wordWrap/>
              <w:autoSpaceDE/>
              <w:autoSpaceDN/>
              <w:jc w:val="right"/>
              <w:rPr>
                <w:rFonts w:ascii="Times" w:hAnsi="Times"/>
                <w:kern w:val="0"/>
                <w:szCs w:val="20"/>
                <w:lang w:eastAsia="en-US"/>
              </w:rPr>
            </w:pPr>
            <w:r w:rsidRPr="00A842C0">
              <w:rPr>
                <w:rFonts w:ascii="Times" w:hAnsi="Times"/>
                <w:noProof/>
                <w:kern w:val="0"/>
                <w:szCs w:val="20"/>
              </w:rPr>
              <w:drawing>
                <wp:inline distT="0" distB="0" distL="0" distR="0" wp14:anchorId="65E6B5F1" wp14:editId="5EDEBD8F">
                  <wp:extent cx="5293360" cy="968375"/>
                  <wp:effectExtent l="0" t="0" r="2540" b="3175"/>
                  <wp:docPr id="3"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p w:rsidR="00A842C0" w:rsidRPr="00A842C0" w:rsidRDefault="00A842C0" w:rsidP="00A842C0">
            <w:pPr>
              <w:widowControl/>
              <w:wordWrap/>
              <w:autoSpaceDE/>
              <w:autoSpaceDN/>
              <w:rPr>
                <w:rFonts w:ascii="Times" w:hAnsi="Times"/>
                <w:kern w:val="0"/>
                <w:lang w:val="en-GB" w:eastAsia="x-none"/>
              </w:rPr>
            </w:pPr>
          </w:p>
          <w:p w:rsidR="00A842C0" w:rsidRPr="00A842C0" w:rsidRDefault="00A842C0" w:rsidP="00A842C0">
            <w:pPr>
              <w:widowControl/>
              <w:wordWrap/>
              <w:autoSpaceDE/>
              <w:autoSpaceDN/>
              <w:rPr>
                <w:rFonts w:ascii="Times" w:hAnsi="Times"/>
                <w:b/>
                <w:bCs/>
                <w:kern w:val="0"/>
                <w:lang w:eastAsia="en-US"/>
              </w:rPr>
            </w:pPr>
            <w:r w:rsidRPr="00A842C0">
              <w:rPr>
                <w:rFonts w:ascii="Times" w:hAnsi="Times"/>
                <w:b/>
                <w:bCs/>
                <w:kern w:val="0"/>
                <w:lang w:eastAsia="en-US"/>
              </w:rPr>
              <w:t>Observation</w:t>
            </w: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RAN1 concludes that at least D=8 and U=8 is feasible with N=9 from point of view of the design constraints (from earlier agreement) imposed by the TDD frame structure of the legacy system in the 1616-1626.5 MHz MSS band.</w:t>
            </w:r>
          </w:p>
          <w:p w:rsidR="00A842C0" w:rsidRPr="00A842C0" w:rsidRDefault="00A842C0" w:rsidP="00A842C0">
            <w:pPr>
              <w:widowControl/>
              <w:wordWrap/>
              <w:autoSpaceDE/>
              <w:autoSpaceDN/>
              <w:rPr>
                <w:rFonts w:ascii="Times" w:hAnsi="Times"/>
                <w:kern w:val="0"/>
                <w:lang w:val="en-GB" w:eastAsia="x-none"/>
              </w:rPr>
            </w:pPr>
          </w:p>
          <w:p w:rsidR="00A842C0" w:rsidRPr="00A842C0" w:rsidRDefault="00A842C0" w:rsidP="00A842C0">
            <w:pPr>
              <w:widowControl/>
              <w:wordWrap/>
              <w:autoSpaceDE/>
              <w:autoSpaceDN/>
              <w:rPr>
                <w:rFonts w:ascii="Times" w:hAnsi="Times"/>
                <w:b/>
                <w:bCs/>
                <w:kern w:val="0"/>
                <w:lang w:eastAsia="en-US"/>
              </w:rPr>
            </w:pPr>
            <w:r w:rsidRPr="00A842C0">
              <w:rPr>
                <w:rFonts w:ascii="Times" w:hAnsi="Times"/>
                <w:b/>
                <w:bCs/>
                <w:kern w:val="0"/>
                <w:lang w:eastAsia="en-US"/>
              </w:rPr>
              <w:t>Conclusion</w:t>
            </w:r>
          </w:p>
          <w:p w:rsidR="00A842C0" w:rsidRPr="00A842C0" w:rsidRDefault="00A842C0" w:rsidP="00A842C0">
            <w:pPr>
              <w:widowControl/>
              <w:wordWrap/>
              <w:autoSpaceDE/>
              <w:autoSpaceDN/>
              <w:rPr>
                <w:rFonts w:ascii="Times" w:hAnsi="Times"/>
                <w:kern w:val="0"/>
                <w:lang w:eastAsia="en-US"/>
              </w:rPr>
            </w:pPr>
            <w:r w:rsidRPr="00A842C0">
              <w:rPr>
                <w:rFonts w:ascii="Times" w:hAnsi="Times"/>
                <w:kern w:val="0"/>
                <w:lang w:eastAsia="en-US"/>
              </w:rPr>
              <w:t>For N=9, D=8, RAN1 concludes that SIB1-NB reception following current specifications is feasible for some SIB1-NB TBS values, at least when the configured number of repetitions is 16 and when SIB1-NB TBS value &lt;=X bits.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When considering only NPSS/NSSS/NPBCH/SIB1-NB, and if the number of SIB1-NB repetitions is 16:</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 xml:space="preserve">If </w:t>
            </w:r>
            <w:r w:rsidRPr="00A842C0">
              <w:rPr>
                <w:rFonts w:ascii="Times" w:hAnsi="Times"/>
                <w:i/>
                <w:iCs/>
                <w:kern w:val="0"/>
                <w:lang w:eastAsia="x-none"/>
              </w:rPr>
              <w:t>additionalTransmissionSIB1</w:t>
            </w:r>
            <w:r w:rsidRPr="00A842C0">
              <w:rPr>
                <w:rFonts w:ascii="Times" w:hAnsi="Times"/>
                <w:kern w:val="0"/>
                <w:lang w:eastAsia="x-none"/>
              </w:rPr>
              <w:t xml:space="preserve"> is set to </w:t>
            </w:r>
            <w:r w:rsidRPr="00A842C0">
              <w:rPr>
                <w:rFonts w:ascii="Times" w:hAnsi="Times"/>
                <w:i/>
                <w:iCs/>
                <w:kern w:val="0"/>
                <w:lang w:eastAsia="x-none"/>
              </w:rPr>
              <w:t xml:space="preserve">TRUE, </w:t>
            </w:r>
            <w:r w:rsidRPr="00A842C0">
              <w:rPr>
                <w:rFonts w:ascii="Times" w:hAnsi="Times"/>
                <w:kern w:val="0"/>
                <w:lang w:eastAsia="x-none"/>
              </w:rPr>
              <w:t>the overhead of NPSS/NSSS/NPBCH/SIB1-NB is 43.75% in the anchor carrier.</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 xml:space="preserve">If </w:t>
            </w:r>
            <w:r w:rsidRPr="00A842C0">
              <w:rPr>
                <w:rFonts w:ascii="Times" w:hAnsi="Times"/>
                <w:i/>
                <w:iCs/>
                <w:kern w:val="0"/>
                <w:lang w:eastAsia="x-none"/>
              </w:rPr>
              <w:t>additionalTransmissionSIB1</w:t>
            </w:r>
            <w:r w:rsidRPr="00A842C0">
              <w:rPr>
                <w:rFonts w:ascii="Times" w:hAnsi="Times"/>
                <w:kern w:val="0"/>
                <w:lang w:eastAsia="x-none"/>
              </w:rPr>
              <w:t xml:space="preserve"> is not set to </w:t>
            </w:r>
            <w:r w:rsidRPr="00A842C0">
              <w:rPr>
                <w:rFonts w:ascii="Times" w:hAnsi="Times"/>
                <w:i/>
                <w:iCs/>
                <w:kern w:val="0"/>
                <w:lang w:eastAsia="x-none"/>
              </w:rPr>
              <w:t xml:space="preserve">TRUE, </w:t>
            </w:r>
            <w:r w:rsidRPr="00A842C0">
              <w:rPr>
                <w:rFonts w:ascii="Times" w:hAnsi="Times"/>
                <w:kern w:val="0"/>
                <w:lang w:eastAsia="x-none"/>
              </w:rPr>
              <w:t>the overhead of NPSS/NSSS/NPBCH/SIB1-NB is 37.5% in the anchor carrier.</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lastRenderedPageBreak/>
              <w:t>NOTE: In the above calculations, overhead due to transmission of other SIBs has not been included.</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The value of X may be further studied during the normative phase. Note: X is a TBS value supported by the specifications for SIB1-NB.</w:t>
            </w:r>
          </w:p>
          <w:p w:rsidR="00A842C0" w:rsidRPr="00A842C0" w:rsidRDefault="00A842C0" w:rsidP="00A842C0">
            <w:pPr>
              <w:widowControl/>
              <w:wordWrap/>
              <w:autoSpaceDE/>
              <w:autoSpaceDN/>
              <w:rPr>
                <w:rFonts w:ascii="Times" w:hAnsi="Times" w:cs="Times"/>
                <w:kern w:val="0"/>
                <w:szCs w:val="20"/>
                <w:highlight w:val="green"/>
                <w:lang w:eastAsia="en-US"/>
              </w:rPr>
            </w:pPr>
          </w:p>
          <w:p w:rsidR="00A842C0" w:rsidRPr="00A842C0" w:rsidRDefault="00A842C0" w:rsidP="00A842C0">
            <w:pPr>
              <w:widowControl/>
              <w:wordWrap/>
              <w:autoSpaceDE/>
              <w:autoSpaceDN/>
              <w:rPr>
                <w:rFonts w:ascii="Times" w:hAnsi="Times" w:cs="Times"/>
                <w:kern w:val="0"/>
                <w:szCs w:val="20"/>
                <w:lang w:eastAsia="en-US"/>
              </w:rPr>
            </w:pPr>
            <w:r w:rsidRPr="00A842C0">
              <w:rPr>
                <w:rFonts w:ascii="Times New Roman"/>
                <w:b/>
                <w:kern w:val="0"/>
                <w:szCs w:val="20"/>
                <w:highlight w:val="green"/>
                <w:lang w:val="en-GB" w:eastAsia="x-none"/>
              </w:rPr>
              <w:t>Agreement</w:t>
            </w:r>
          </w:p>
          <w:p w:rsidR="00A842C0" w:rsidRPr="00A842C0" w:rsidRDefault="00A842C0" w:rsidP="00A842C0">
            <w:pPr>
              <w:widowControl/>
              <w:wordWrap/>
              <w:autoSpaceDE/>
              <w:autoSpaceDN/>
              <w:rPr>
                <w:rFonts w:ascii="Times" w:hAnsi="Times" w:cs="Times"/>
                <w:kern w:val="0"/>
                <w:szCs w:val="20"/>
                <w:lang w:eastAsia="en-US"/>
              </w:rPr>
            </w:pPr>
            <w:r w:rsidRPr="00A842C0">
              <w:rPr>
                <w:rFonts w:ascii="Times" w:hAnsi="Times" w:cs="Times"/>
                <w:kern w:val="0"/>
                <w:szCs w:val="20"/>
                <w:lang w:eastAsia="en-US"/>
              </w:rPr>
              <w:t>The offset between the 90ms TDD structure and the 10240ms H-SFN is to be studied considering at least the following options: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Option 1: Always the same across H-SFNs.</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Option 1-1: H-SFN duration is changed to X radio frames, with X a multiple of 9.</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Option 1-2: H-SFN duration is unchanged</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Option 2: Different across some H-SFNs.</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 xml:space="preserve">Option 2-1: UE is indicated (implicitly or explicitly) the offset between H-SFN and 90ms TDD structure based on some downlink signal (e.g. one of NPSS/NSSS/NPBCH/SIB1-NB) </w:t>
            </w:r>
          </w:p>
          <w:p w:rsidR="00A842C0" w:rsidRPr="00A842C0" w:rsidRDefault="00A842C0" w:rsidP="00D71D29">
            <w:pPr>
              <w:widowControl/>
              <w:numPr>
                <w:ilvl w:val="1"/>
                <w:numId w:val="12"/>
              </w:numPr>
              <w:wordWrap/>
              <w:overflowPunct w:val="0"/>
              <w:autoSpaceDE/>
              <w:autoSpaceDN/>
              <w:adjustRightInd w:val="0"/>
              <w:contextualSpacing/>
              <w:textAlignment w:val="baseline"/>
              <w:rPr>
                <w:rFonts w:ascii="Times" w:hAnsi="Times"/>
                <w:kern w:val="0"/>
                <w:lang w:eastAsia="x-none"/>
              </w:rPr>
            </w:pPr>
            <w:r w:rsidRPr="00A842C0">
              <w:rPr>
                <w:rFonts w:ascii="Times" w:hAnsi="Times"/>
                <w:kern w:val="0"/>
                <w:lang w:eastAsia="x-none"/>
              </w:rPr>
              <w:t>Option 2-2: Total number of H-SFN is changed to be a multiple of 9.</w:t>
            </w:r>
          </w:p>
          <w:p w:rsidR="00A842C0" w:rsidRPr="00A842C0" w:rsidRDefault="00A842C0" w:rsidP="00A842C0">
            <w:pPr>
              <w:widowControl/>
              <w:wordWrap/>
              <w:autoSpaceDE/>
              <w:autoSpaceDN/>
              <w:rPr>
                <w:rFonts w:ascii="Times" w:hAnsi="Times" w:cs="Times"/>
                <w:kern w:val="0"/>
                <w:szCs w:val="20"/>
                <w:highlight w:val="green"/>
                <w:lang w:eastAsia="en-US"/>
              </w:rPr>
            </w:pPr>
          </w:p>
          <w:p w:rsidR="00A842C0" w:rsidRPr="00A842C0" w:rsidRDefault="00A842C0" w:rsidP="00A842C0">
            <w:pPr>
              <w:widowControl/>
              <w:wordWrap/>
              <w:autoSpaceDE/>
              <w:autoSpaceDN/>
              <w:rPr>
                <w:rFonts w:ascii="Times New Roman"/>
                <w:b/>
                <w:kern w:val="0"/>
                <w:szCs w:val="20"/>
                <w:highlight w:val="green"/>
                <w:lang w:val="en-GB" w:eastAsia="x-none"/>
              </w:rPr>
            </w:pPr>
            <w:r w:rsidRPr="00A842C0">
              <w:rPr>
                <w:rFonts w:ascii="Times New Roman"/>
                <w:b/>
                <w:kern w:val="0"/>
                <w:szCs w:val="20"/>
                <w:highlight w:val="green"/>
                <w:lang w:val="en-GB" w:eastAsia="x-none"/>
              </w:rPr>
              <w:t>Agreement</w:t>
            </w:r>
          </w:p>
          <w:p w:rsidR="00A842C0" w:rsidRPr="00A842C0" w:rsidRDefault="00A842C0" w:rsidP="00A842C0">
            <w:pPr>
              <w:widowControl/>
              <w:wordWrap/>
              <w:autoSpaceDE/>
              <w:autoSpaceDN/>
              <w:rPr>
                <w:rFonts w:ascii="Times" w:hAnsi="Times" w:cs="Times"/>
                <w:kern w:val="0"/>
                <w:szCs w:val="20"/>
                <w:u w:val="single"/>
                <w:lang w:eastAsia="en-US"/>
              </w:rPr>
            </w:pPr>
            <w:r w:rsidRPr="00A842C0">
              <w:rPr>
                <w:rFonts w:ascii="Times" w:hAnsi="Times" w:cs="Times"/>
                <w:kern w:val="0"/>
                <w:szCs w:val="20"/>
                <w:lang w:eastAsia="en-US"/>
              </w:rPr>
              <w:t>RAN1 to further discuss how to handle the overlap of NPUSCH with non-U NB-IoT subframes and the overlap of NPRACH (including NPRACH occasions) with non-U NB-IoT subframes, including studying at least the following:</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New periodicities to align with the TDD structure.</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Postponement of a channel when it overlaps with non-U NB-IoT subframes.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Restriction of a channel to be fully confined within a single set of U NB-IoT subframes.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Dropping (full or partial) of channels when they overlap with non-U NB-IoT subframes.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Impact on segmented pre-compensation.</w:t>
            </w:r>
          </w:p>
          <w:p w:rsidR="00A842C0" w:rsidRPr="00A842C0" w:rsidRDefault="00A842C0" w:rsidP="00A842C0">
            <w:pPr>
              <w:widowControl/>
              <w:wordWrap/>
              <w:autoSpaceDE/>
              <w:autoSpaceDN/>
              <w:contextualSpacing/>
              <w:rPr>
                <w:rFonts w:ascii="Times" w:hAnsi="Times" w:cs="Times"/>
                <w:kern w:val="0"/>
                <w:szCs w:val="20"/>
                <w:lang w:eastAsia="x-none"/>
              </w:rPr>
            </w:pPr>
          </w:p>
          <w:p w:rsidR="00A842C0" w:rsidRPr="00A842C0" w:rsidRDefault="00A842C0" w:rsidP="00A842C0">
            <w:pPr>
              <w:widowControl/>
              <w:wordWrap/>
              <w:autoSpaceDE/>
              <w:autoSpaceDN/>
              <w:rPr>
                <w:rFonts w:ascii="Times New Roman"/>
                <w:b/>
                <w:kern w:val="0"/>
                <w:szCs w:val="20"/>
                <w:highlight w:val="green"/>
                <w:lang w:val="en-GB" w:eastAsia="x-none"/>
              </w:rPr>
            </w:pPr>
            <w:r w:rsidRPr="00A842C0">
              <w:rPr>
                <w:rFonts w:ascii="Times New Roman"/>
                <w:b/>
                <w:kern w:val="0"/>
                <w:szCs w:val="20"/>
                <w:highlight w:val="green"/>
                <w:lang w:val="en-GB" w:eastAsia="x-none"/>
              </w:rPr>
              <w:t>Agreement</w:t>
            </w:r>
          </w:p>
          <w:p w:rsidR="00A842C0" w:rsidRPr="00A842C0" w:rsidRDefault="00A842C0" w:rsidP="00A842C0">
            <w:pPr>
              <w:widowControl/>
              <w:wordWrap/>
              <w:autoSpaceDE/>
              <w:autoSpaceDN/>
              <w:rPr>
                <w:rFonts w:ascii="Times" w:hAnsi="Times" w:cs="Times"/>
                <w:kern w:val="0"/>
                <w:szCs w:val="20"/>
                <w:lang w:eastAsia="en-US"/>
              </w:rPr>
            </w:pPr>
            <w:r w:rsidRPr="00A842C0">
              <w:rPr>
                <w:rFonts w:ascii="Times" w:hAnsi="Times" w:cs="Times"/>
                <w:kern w:val="0"/>
                <w:szCs w:val="20"/>
                <w:lang w:eastAsia="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New periodicities to align with the TDD structure.</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Postponement of a channel when it overlaps with non-D NB-IoT subframes.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Restriction of a channel to be fully confined within a single set of D NB-IoT subframes.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Dropping (full or partial) of channels when they overlap with non-D NB-IoT subframes.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The non-D NB-IoT subframes are not “NB-IoT DL subframes” from the specifications</w:t>
            </w:r>
          </w:p>
          <w:p w:rsidR="00A842C0" w:rsidRPr="00A842C0" w:rsidRDefault="00A842C0" w:rsidP="00A842C0">
            <w:pPr>
              <w:widowControl/>
              <w:wordWrap/>
              <w:autoSpaceDE/>
              <w:autoSpaceDN/>
              <w:contextualSpacing/>
              <w:rPr>
                <w:rFonts w:ascii="Times" w:hAnsi="Times" w:cs="Times"/>
                <w:kern w:val="0"/>
                <w:szCs w:val="20"/>
                <w:lang w:eastAsia="x-none"/>
              </w:rPr>
            </w:pPr>
          </w:p>
          <w:p w:rsidR="00A842C0" w:rsidRPr="00A842C0" w:rsidRDefault="00A842C0" w:rsidP="00A842C0">
            <w:pPr>
              <w:widowControl/>
              <w:wordWrap/>
              <w:autoSpaceDE/>
              <w:autoSpaceDN/>
              <w:rPr>
                <w:rFonts w:ascii="Times New Roman"/>
                <w:b/>
                <w:kern w:val="0"/>
                <w:szCs w:val="20"/>
                <w:highlight w:val="green"/>
                <w:lang w:val="en-GB" w:eastAsia="x-none"/>
              </w:rPr>
            </w:pPr>
            <w:r w:rsidRPr="00A842C0">
              <w:rPr>
                <w:rFonts w:ascii="Times New Roman"/>
                <w:b/>
                <w:kern w:val="0"/>
                <w:szCs w:val="20"/>
                <w:highlight w:val="green"/>
                <w:lang w:val="en-GB" w:eastAsia="x-none"/>
              </w:rPr>
              <w:t>Agreement</w:t>
            </w:r>
          </w:p>
          <w:p w:rsidR="00A842C0" w:rsidRPr="00A842C0" w:rsidRDefault="00A842C0" w:rsidP="00A842C0">
            <w:pPr>
              <w:widowControl/>
              <w:wordWrap/>
              <w:autoSpaceDE/>
              <w:autoSpaceDN/>
              <w:rPr>
                <w:rFonts w:ascii="Times" w:hAnsi="Times" w:cs="Times"/>
                <w:kern w:val="0"/>
                <w:szCs w:val="20"/>
                <w:lang w:eastAsia="en-US"/>
              </w:rPr>
            </w:pPr>
            <w:r w:rsidRPr="00A842C0">
              <w:rPr>
                <w:rFonts w:ascii="Times" w:hAnsi="Times" w:cs="Times"/>
                <w:kern w:val="0"/>
                <w:szCs w:val="20"/>
                <w:lang w:eastAsia="en-US"/>
              </w:rPr>
              <w:t xml:space="preserve">The downlink subframes within D=8 are to be down-selected among the following: </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Option 1: [3 4 5 6 7 8 9 0] (across two consecutive radio 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Option 2: [4 5 6 7 8 9 0 1] (across two consecutive radio frames)</w:t>
            </w:r>
          </w:p>
          <w:p w:rsidR="00A842C0" w:rsidRPr="00A842C0" w:rsidRDefault="00A842C0" w:rsidP="00A842C0">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Option 3: [8 9 0 1 2 3 4 5] (across two consecutive radio frames)</w:t>
            </w:r>
          </w:p>
          <w:p w:rsidR="00A842C0" w:rsidRPr="00A842C0" w:rsidRDefault="00A842C0" w:rsidP="00CF51B2">
            <w:pPr>
              <w:widowControl/>
              <w:numPr>
                <w:ilvl w:val="0"/>
                <w:numId w:val="17"/>
              </w:numPr>
              <w:wordWrap/>
              <w:autoSpaceDE/>
              <w:autoSpaceDN/>
              <w:contextualSpacing/>
              <w:rPr>
                <w:rFonts w:ascii="Times" w:hAnsi="Times"/>
                <w:kern w:val="0"/>
                <w:lang w:eastAsia="x-none"/>
              </w:rPr>
            </w:pPr>
            <w:r w:rsidRPr="00A842C0">
              <w:rPr>
                <w:rFonts w:ascii="Times" w:hAnsi="Times"/>
                <w:kern w:val="0"/>
                <w:lang w:eastAsia="x-none"/>
              </w:rPr>
              <w:t>Option 4: [9 0 1 2 3 4 5 6] (across two consecutive radio frames)</w:t>
            </w:r>
          </w:p>
        </w:tc>
      </w:tr>
    </w:tbl>
    <w:p w:rsidR="00CF51B2" w:rsidRDefault="00CF51B2" w:rsidP="00211ED2">
      <w:pPr>
        <w:pStyle w:val="LGTdoc0"/>
        <w:spacing w:afterLines="0" w:after="0" w:line="240" w:lineRule="auto"/>
        <w:ind w:firstLine="425"/>
        <w:rPr>
          <w:rFonts w:ascii="Calibri" w:hAnsi="Calibri" w:cs="Calibri"/>
          <w:szCs w:val="22"/>
        </w:rPr>
      </w:pPr>
    </w:p>
    <w:p w:rsidR="00417186" w:rsidRDefault="00417186" w:rsidP="00CE2722">
      <w:pPr>
        <w:pStyle w:val="LGTdoc0"/>
        <w:spacing w:afterLines="0" w:after="0" w:line="240" w:lineRule="auto"/>
        <w:rPr>
          <w:rFonts w:ascii="Calibri" w:hAnsi="Calibri" w:cs="Calibri"/>
          <w:szCs w:val="22"/>
        </w:rPr>
      </w:pPr>
      <w:r>
        <w:rPr>
          <w:rFonts w:ascii="Calibri" w:hAnsi="Calibri" w:cs="Calibri" w:hint="eastAsia"/>
          <w:szCs w:val="22"/>
        </w:rPr>
        <w:t xml:space="preserve">To be </w:t>
      </w:r>
      <w:r>
        <w:rPr>
          <w:rFonts w:ascii="Calibri" w:hAnsi="Calibri" w:cs="Calibri"/>
          <w:szCs w:val="22"/>
        </w:rPr>
        <w:t>specific</w:t>
      </w:r>
      <w:r>
        <w:rPr>
          <w:rFonts w:ascii="Calibri" w:hAnsi="Calibri" w:cs="Calibri" w:hint="eastAsia"/>
          <w:szCs w:val="22"/>
        </w:rPr>
        <w:t>,</w:t>
      </w:r>
      <w:r>
        <w:rPr>
          <w:rFonts w:ascii="Calibri" w:hAnsi="Calibri" w:cs="Calibri"/>
          <w:szCs w:val="22"/>
        </w:rPr>
        <w:t xml:space="preserve"> </w:t>
      </w:r>
      <w:r w:rsidR="008F3285">
        <w:rPr>
          <w:rFonts w:ascii="Calibri" w:hAnsi="Calibri" w:cs="Calibri"/>
          <w:szCs w:val="22"/>
        </w:rPr>
        <w:t xml:space="preserve">the details of </w:t>
      </w:r>
      <w:r w:rsidR="0040674F">
        <w:rPr>
          <w:rFonts w:ascii="Calibri" w:hAnsi="Calibri" w:cs="Calibri"/>
          <w:szCs w:val="22"/>
        </w:rPr>
        <w:t>RAN1’s</w:t>
      </w:r>
      <w:r w:rsidR="008F3285">
        <w:rPr>
          <w:rFonts w:ascii="Calibri" w:hAnsi="Calibri" w:cs="Calibri"/>
          <w:szCs w:val="22"/>
        </w:rPr>
        <w:t xml:space="preserve"> </w:t>
      </w:r>
      <w:r w:rsidR="00572E42">
        <w:rPr>
          <w:rFonts w:ascii="Calibri" w:hAnsi="Calibri" w:cs="Calibri"/>
          <w:szCs w:val="22"/>
        </w:rPr>
        <w:t>analysis</w:t>
      </w:r>
      <w:r w:rsidR="008F3285">
        <w:rPr>
          <w:rFonts w:ascii="Calibri" w:hAnsi="Calibri" w:cs="Calibri"/>
          <w:szCs w:val="22"/>
        </w:rPr>
        <w:t xml:space="preserve"> on the impact of TDD pattern are as follows:</w:t>
      </w:r>
    </w:p>
    <w:p w:rsidR="008F3285" w:rsidRPr="00572E42" w:rsidRDefault="008F3285" w:rsidP="00CE2722">
      <w:pPr>
        <w:pStyle w:val="LGTdoc0"/>
        <w:spacing w:afterLines="0" w:after="0" w:line="240" w:lineRule="auto"/>
        <w:rPr>
          <w:rFonts w:ascii="Calibri" w:hAnsi="Calibri" w:cs="Calibri"/>
          <w:szCs w:val="22"/>
        </w:rPr>
      </w:pPr>
    </w:p>
    <w:p w:rsidR="008F3285" w:rsidRDefault="00261B73" w:rsidP="00261B73">
      <w:pPr>
        <w:pStyle w:val="LGTdoc0"/>
        <w:numPr>
          <w:ilvl w:val="0"/>
          <w:numId w:val="18"/>
        </w:numPr>
        <w:spacing w:afterLines="0" w:after="0" w:line="240" w:lineRule="auto"/>
        <w:rPr>
          <w:rFonts w:ascii="Calibri" w:hAnsi="Calibri" w:cs="Calibri"/>
          <w:szCs w:val="22"/>
        </w:rPr>
      </w:pPr>
      <w:r>
        <w:rPr>
          <w:rFonts w:ascii="Calibri" w:hAnsi="Calibri" w:cs="Calibri" w:hint="eastAsia"/>
          <w:szCs w:val="22"/>
        </w:rPr>
        <w:t xml:space="preserve">Whether </w:t>
      </w:r>
      <w:r>
        <w:rPr>
          <w:rFonts w:ascii="Calibri" w:hAnsi="Calibri" w:cs="Calibri"/>
          <w:szCs w:val="22"/>
        </w:rPr>
        <w:t>the link budget requirement of DL synchronization (</w:t>
      </w:r>
      <w:r w:rsidRPr="00261B73">
        <w:rPr>
          <w:rFonts w:ascii="Calibri" w:hAnsi="Calibri" w:cs="Calibri"/>
          <w:szCs w:val="22"/>
        </w:rPr>
        <w:t>NPSS/NSSS/NPBCH</w:t>
      </w:r>
      <w:r>
        <w:rPr>
          <w:rFonts w:ascii="Calibri" w:hAnsi="Calibri" w:cs="Calibri"/>
          <w:szCs w:val="22"/>
        </w:rPr>
        <w:t>) can be satisfied for a certain TDD pattern</w:t>
      </w:r>
      <w:r w:rsidR="009979B4">
        <w:rPr>
          <w:rFonts w:ascii="Calibri" w:hAnsi="Calibri" w:cs="Calibri"/>
          <w:szCs w:val="22"/>
        </w:rPr>
        <w:t>?</w:t>
      </w:r>
    </w:p>
    <w:p w:rsidR="00261B73" w:rsidRDefault="00CF3E4F" w:rsidP="0045247F">
      <w:pPr>
        <w:pStyle w:val="LGTdoc0"/>
        <w:numPr>
          <w:ilvl w:val="0"/>
          <w:numId w:val="18"/>
        </w:numPr>
        <w:spacing w:afterLines="0" w:after="0" w:line="240" w:lineRule="auto"/>
        <w:rPr>
          <w:rFonts w:ascii="Calibri" w:hAnsi="Calibri" w:cs="Calibri"/>
          <w:szCs w:val="22"/>
        </w:rPr>
      </w:pPr>
      <w:r>
        <w:rPr>
          <w:rFonts w:ascii="Calibri" w:hAnsi="Calibri" w:cs="Calibri"/>
          <w:szCs w:val="22"/>
        </w:rPr>
        <w:t xml:space="preserve">Which </w:t>
      </w:r>
      <w:r w:rsidR="0045247F">
        <w:rPr>
          <w:rFonts w:ascii="Calibri" w:hAnsi="Calibri" w:cs="Calibri"/>
          <w:szCs w:val="22"/>
        </w:rPr>
        <w:t>TDD pattern</w:t>
      </w:r>
      <w:r w:rsidR="00FD0829">
        <w:rPr>
          <w:rFonts w:ascii="Calibri" w:hAnsi="Calibri" w:cs="Calibri"/>
          <w:szCs w:val="22"/>
        </w:rPr>
        <w:t>s</w:t>
      </w:r>
      <w:r w:rsidR="0045247F">
        <w:rPr>
          <w:rFonts w:ascii="Calibri" w:hAnsi="Calibri" w:cs="Calibri"/>
          <w:szCs w:val="22"/>
        </w:rPr>
        <w:t xml:space="preserve"> can coexist with the </w:t>
      </w:r>
      <w:r w:rsidR="0045247F" w:rsidRPr="0045247F">
        <w:rPr>
          <w:rFonts w:ascii="Calibri" w:hAnsi="Calibri" w:cs="Calibri"/>
          <w:szCs w:val="22"/>
        </w:rPr>
        <w:t xml:space="preserve">TDD frame structure of the legacy system in </w:t>
      </w:r>
      <w:r w:rsidR="00B958F8">
        <w:rPr>
          <w:rFonts w:ascii="Calibri" w:hAnsi="Calibri" w:cs="Calibri"/>
          <w:szCs w:val="22"/>
        </w:rPr>
        <w:t xml:space="preserve">the </w:t>
      </w:r>
      <w:r w:rsidR="0045247F" w:rsidRPr="0045247F">
        <w:rPr>
          <w:rFonts w:ascii="Calibri" w:hAnsi="Calibri" w:cs="Calibri"/>
          <w:szCs w:val="22"/>
        </w:rPr>
        <w:t>1616-1626.5 MHz MSS band</w:t>
      </w:r>
      <w:r w:rsidR="009979B4">
        <w:rPr>
          <w:rFonts w:ascii="Calibri" w:hAnsi="Calibri" w:cs="Calibri"/>
          <w:szCs w:val="22"/>
        </w:rPr>
        <w:t>?</w:t>
      </w:r>
    </w:p>
    <w:p w:rsidR="00706EC1" w:rsidRDefault="009979B4" w:rsidP="00706EC1">
      <w:pPr>
        <w:pStyle w:val="LGTdoc0"/>
        <w:numPr>
          <w:ilvl w:val="0"/>
          <w:numId w:val="18"/>
        </w:numPr>
        <w:spacing w:afterLines="0" w:after="0" w:line="240" w:lineRule="auto"/>
        <w:rPr>
          <w:rFonts w:ascii="Calibri" w:hAnsi="Calibri" w:cs="Calibri"/>
          <w:szCs w:val="22"/>
        </w:rPr>
      </w:pPr>
      <w:r>
        <w:rPr>
          <w:rFonts w:ascii="Calibri" w:hAnsi="Calibri" w:cs="Calibri"/>
          <w:szCs w:val="22"/>
        </w:rPr>
        <w:t>What are the c</w:t>
      </w:r>
      <w:r w:rsidR="00706EC1">
        <w:rPr>
          <w:rFonts w:ascii="Calibri" w:hAnsi="Calibri" w:cs="Calibri" w:hint="eastAsia"/>
          <w:szCs w:val="22"/>
        </w:rPr>
        <w:t xml:space="preserve">onditions </w:t>
      </w:r>
      <w:r w:rsidR="00706EC1">
        <w:rPr>
          <w:rFonts w:ascii="Calibri" w:hAnsi="Calibri" w:cs="Calibri"/>
          <w:szCs w:val="22"/>
        </w:rPr>
        <w:t xml:space="preserve">under which SIB1-NB reception is feasible </w:t>
      </w:r>
      <w:r w:rsidR="00920F66">
        <w:rPr>
          <w:rFonts w:ascii="Calibri" w:hAnsi="Calibri" w:cs="Calibri"/>
          <w:szCs w:val="22"/>
        </w:rPr>
        <w:t>for a specific TDD pattern (</w:t>
      </w:r>
      <w:r w:rsidR="00BC3B60">
        <w:rPr>
          <w:rFonts w:ascii="Calibri" w:hAnsi="Calibri" w:cs="Calibri"/>
          <w:szCs w:val="22"/>
        </w:rPr>
        <w:t>including</w:t>
      </w:r>
      <w:r w:rsidR="00920F66">
        <w:rPr>
          <w:rFonts w:ascii="Calibri" w:hAnsi="Calibri" w:cs="Calibri"/>
          <w:szCs w:val="22"/>
        </w:rPr>
        <w:t xml:space="preserve"> </w:t>
      </w:r>
      <w:r w:rsidR="00706EC1">
        <w:rPr>
          <w:rFonts w:ascii="Calibri" w:hAnsi="Calibri" w:cs="Calibri"/>
          <w:szCs w:val="22"/>
        </w:rPr>
        <w:t xml:space="preserve">the overhead ratio occupied by </w:t>
      </w:r>
      <w:r w:rsidR="00706EC1" w:rsidRPr="00706EC1">
        <w:rPr>
          <w:rFonts w:ascii="Calibri" w:hAnsi="Calibri" w:cs="Calibri"/>
          <w:szCs w:val="22"/>
        </w:rPr>
        <w:t>NPSS/NSSS/NPBCH/SIB1-NB</w:t>
      </w:r>
      <w:r w:rsidR="008A7F6B">
        <w:rPr>
          <w:rFonts w:ascii="Calibri" w:hAnsi="Calibri" w:cs="Calibri"/>
          <w:szCs w:val="22"/>
        </w:rPr>
        <w:t xml:space="preserve"> in that situation</w:t>
      </w:r>
      <w:r w:rsidR="00920F66">
        <w:rPr>
          <w:rFonts w:ascii="Calibri" w:hAnsi="Calibri" w:cs="Calibri"/>
          <w:szCs w:val="22"/>
        </w:rPr>
        <w:t>)</w:t>
      </w:r>
      <w:r w:rsidR="000C20FE">
        <w:rPr>
          <w:rFonts w:ascii="Calibri" w:hAnsi="Calibri" w:cs="Calibri"/>
          <w:szCs w:val="22"/>
        </w:rPr>
        <w:t>?</w:t>
      </w:r>
    </w:p>
    <w:p w:rsidR="00706EC1" w:rsidRDefault="007B6B01" w:rsidP="005D6021">
      <w:pPr>
        <w:pStyle w:val="LGTdoc0"/>
        <w:numPr>
          <w:ilvl w:val="0"/>
          <w:numId w:val="18"/>
        </w:numPr>
        <w:spacing w:afterLines="0" w:after="0" w:line="240" w:lineRule="auto"/>
        <w:rPr>
          <w:rFonts w:ascii="Calibri" w:hAnsi="Calibri" w:cs="Calibri"/>
          <w:szCs w:val="22"/>
        </w:rPr>
      </w:pPr>
      <w:r>
        <w:rPr>
          <w:rFonts w:ascii="Calibri" w:hAnsi="Calibri" w:cs="Calibri" w:hint="eastAsia"/>
          <w:szCs w:val="22"/>
        </w:rPr>
        <w:t>How to deter</w:t>
      </w:r>
      <w:r>
        <w:rPr>
          <w:rFonts w:ascii="Calibri" w:hAnsi="Calibri" w:cs="Calibri"/>
          <w:szCs w:val="22"/>
        </w:rPr>
        <w:t xml:space="preserve">mine/define the offset between the </w:t>
      </w:r>
      <w:r w:rsidRPr="007B6B01">
        <w:rPr>
          <w:rFonts w:ascii="Calibri" w:hAnsi="Calibri" w:cs="Calibri"/>
          <w:szCs w:val="22"/>
        </w:rPr>
        <w:t xml:space="preserve">90ms TDD </w:t>
      </w:r>
      <w:r w:rsidR="005D6021" w:rsidRPr="005D6021">
        <w:rPr>
          <w:rFonts w:ascii="Calibri" w:hAnsi="Calibri" w:cs="Calibri"/>
          <w:szCs w:val="22"/>
        </w:rPr>
        <w:t xml:space="preserve">structure </w:t>
      </w:r>
      <w:r w:rsidRPr="007B6B01">
        <w:rPr>
          <w:rFonts w:ascii="Calibri" w:hAnsi="Calibri" w:cs="Calibri"/>
          <w:szCs w:val="22"/>
        </w:rPr>
        <w:t>and the 10240ms H-SFN</w:t>
      </w:r>
      <w:r w:rsidR="00FE3CEC">
        <w:rPr>
          <w:rFonts w:ascii="Calibri" w:hAnsi="Calibri" w:cs="Calibri"/>
          <w:szCs w:val="22"/>
        </w:rPr>
        <w:t>?</w:t>
      </w:r>
    </w:p>
    <w:p w:rsidR="007B6B01" w:rsidRDefault="008E3088" w:rsidP="008E3088">
      <w:pPr>
        <w:pStyle w:val="LGTdoc0"/>
        <w:numPr>
          <w:ilvl w:val="0"/>
          <w:numId w:val="18"/>
        </w:numPr>
        <w:spacing w:afterLines="0" w:after="0" w:line="240" w:lineRule="auto"/>
        <w:rPr>
          <w:rFonts w:ascii="Calibri" w:hAnsi="Calibri" w:cs="Calibri"/>
          <w:szCs w:val="22"/>
        </w:rPr>
      </w:pPr>
      <w:r>
        <w:rPr>
          <w:rFonts w:ascii="Calibri" w:hAnsi="Calibri" w:cs="Calibri"/>
          <w:szCs w:val="22"/>
        </w:rPr>
        <w:t>H</w:t>
      </w:r>
      <w:r w:rsidRPr="008E3088">
        <w:rPr>
          <w:rFonts w:ascii="Calibri" w:hAnsi="Calibri" w:cs="Calibri"/>
          <w:szCs w:val="22"/>
        </w:rPr>
        <w:t>ow to handle the overlap of NPUSCH</w:t>
      </w:r>
      <w:r w:rsidR="005B0CDF">
        <w:rPr>
          <w:rFonts w:ascii="Calibri" w:hAnsi="Calibri" w:cs="Calibri"/>
          <w:szCs w:val="22"/>
        </w:rPr>
        <w:t>/</w:t>
      </w:r>
      <w:r w:rsidR="005B0CDF" w:rsidRPr="008E3088">
        <w:rPr>
          <w:rFonts w:ascii="Calibri" w:hAnsi="Calibri" w:cs="Calibri"/>
          <w:szCs w:val="22"/>
        </w:rPr>
        <w:t>NPRACH</w:t>
      </w:r>
      <w:r w:rsidRPr="008E3088">
        <w:rPr>
          <w:rFonts w:ascii="Calibri" w:hAnsi="Calibri" w:cs="Calibri"/>
          <w:szCs w:val="22"/>
        </w:rPr>
        <w:t xml:space="preserve"> with non-U NB-IoT subframes and the overlap of </w:t>
      </w:r>
      <w:r w:rsidR="005B0CDF" w:rsidRPr="008E3088">
        <w:rPr>
          <w:rFonts w:ascii="Calibri" w:hAnsi="Calibri" w:cs="Calibri"/>
          <w:szCs w:val="22"/>
        </w:rPr>
        <w:t xml:space="preserve">NPDCCH/NPDSCH </w:t>
      </w:r>
      <w:r w:rsidRPr="008E3088">
        <w:rPr>
          <w:rFonts w:ascii="Calibri" w:hAnsi="Calibri" w:cs="Calibri"/>
          <w:szCs w:val="22"/>
        </w:rPr>
        <w:t>with non-</w:t>
      </w:r>
      <w:r w:rsidR="005B0CDF">
        <w:rPr>
          <w:rFonts w:ascii="Calibri" w:hAnsi="Calibri" w:cs="Calibri"/>
          <w:szCs w:val="22"/>
        </w:rPr>
        <w:t>D</w:t>
      </w:r>
      <w:r w:rsidRPr="008E3088">
        <w:rPr>
          <w:rFonts w:ascii="Calibri" w:hAnsi="Calibri" w:cs="Calibri"/>
          <w:szCs w:val="22"/>
        </w:rPr>
        <w:t xml:space="preserve"> NB-IoT subframes</w:t>
      </w:r>
      <w:r w:rsidR="00FE3CEC">
        <w:rPr>
          <w:rFonts w:ascii="Calibri" w:hAnsi="Calibri" w:cs="Calibri"/>
          <w:szCs w:val="22"/>
        </w:rPr>
        <w:t>?</w:t>
      </w:r>
    </w:p>
    <w:p w:rsidR="00EA7087" w:rsidRDefault="00EA7087" w:rsidP="008E3088">
      <w:pPr>
        <w:pStyle w:val="LGTdoc0"/>
        <w:numPr>
          <w:ilvl w:val="0"/>
          <w:numId w:val="18"/>
        </w:numPr>
        <w:spacing w:afterLines="0" w:after="0" w:line="240" w:lineRule="auto"/>
        <w:rPr>
          <w:rFonts w:ascii="Calibri" w:hAnsi="Calibri" w:cs="Calibri"/>
          <w:szCs w:val="22"/>
        </w:rPr>
      </w:pPr>
      <w:r>
        <w:rPr>
          <w:rFonts w:ascii="Calibri" w:hAnsi="Calibri" w:cs="Calibri"/>
          <w:szCs w:val="22"/>
        </w:rPr>
        <w:t>Etc.</w:t>
      </w:r>
    </w:p>
    <w:p w:rsidR="00417186" w:rsidRDefault="00417186" w:rsidP="00CE2722">
      <w:pPr>
        <w:pStyle w:val="LGTdoc0"/>
        <w:spacing w:afterLines="0" w:after="0" w:line="240" w:lineRule="auto"/>
        <w:rPr>
          <w:rFonts w:ascii="Calibri" w:hAnsi="Calibri" w:cs="Calibri"/>
          <w:szCs w:val="22"/>
        </w:rPr>
      </w:pPr>
    </w:p>
    <w:p w:rsidR="00325354" w:rsidRDefault="00281779" w:rsidP="00281779">
      <w:pPr>
        <w:pStyle w:val="LGTdoc0"/>
        <w:spacing w:afterLines="0" w:after="0" w:line="240" w:lineRule="auto"/>
        <w:rPr>
          <w:rFonts w:ascii="Calibri" w:hAnsi="Calibri" w:cs="Calibri"/>
          <w:szCs w:val="22"/>
        </w:rPr>
      </w:pPr>
      <w:r>
        <w:rPr>
          <w:rFonts w:ascii="Calibri" w:hAnsi="Calibri" w:cs="Calibri"/>
          <w:szCs w:val="22"/>
        </w:rPr>
        <w:t>In summary, w</w:t>
      </w:r>
      <w:r w:rsidR="006C14E3">
        <w:rPr>
          <w:rFonts w:ascii="Calibri" w:hAnsi="Calibri" w:cs="Calibri" w:hint="eastAsia"/>
          <w:szCs w:val="22"/>
        </w:rPr>
        <w:t xml:space="preserve">e </w:t>
      </w:r>
      <w:r>
        <w:rPr>
          <w:rFonts w:ascii="Calibri" w:hAnsi="Calibri" w:cs="Calibri"/>
          <w:szCs w:val="22"/>
        </w:rPr>
        <w:t xml:space="preserve">believe that the investigation into the impact of TDD pattern during the study phase was adequately conducted, and </w:t>
      </w:r>
      <w:r w:rsidR="009C5D44">
        <w:rPr>
          <w:rFonts w:ascii="Calibri" w:hAnsi="Calibri" w:cs="Calibri"/>
          <w:szCs w:val="22"/>
        </w:rPr>
        <w:t>t</w:t>
      </w:r>
      <w:r w:rsidR="00162E1A">
        <w:rPr>
          <w:rFonts w:ascii="Calibri" w:hAnsi="Calibri" w:cs="Calibri" w:hint="eastAsia"/>
          <w:szCs w:val="22"/>
        </w:rPr>
        <w:t xml:space="preserve">here is no problem </w:t>
      </w:r>
      <w:r w:rsidR="00162E1A">
        <w:rPr>
          <w:rFonts w:ascii="Calibri" w:hAnsi="Calibri" w:cs="Calibri"/>
          <w:szCs w:val="22"/>
        </w:rPr>
        <w:t xml:space="preserve">in proceeding with the normative work of specifying </w:t>
      </w:r>
      <w:r w:rsidR="009C5D44">
        <w:rPr>
          <w:rFonts w:ascii="Calibri" w:hAnsi="Calibri" w:cs="Calibri" w:hint="eastAsia"/>
          <w:szCs w:val="22"/>
        </w:rPr>
        <w:t>the</w:t>
      </w:r>
      <w:r w:rsidR="009C5D44" w:rsidRPr="009C5D44">
        <w:rPr>
          <w:rFonts w:ascii="Calibri" w:hAnsi="Calibri" w:cs="Calibri"/>
          <w:szCs w:val="22"/>
        </w:rPr>
        <w:t xml:space="preserve"> IoT</w:t>
      </w:r>
      <w:r w:rsidR="009C5D44">
        <w:rPr>
          <w:rFonts w:ascii="Calibri" w:hAnsi="Calibri" w:cs="Calibri"/>
          <w:szCs w:val="22"/>
        </w:rPr>
        <w:t>-NTN</w:t>
      </w:r>
      <w:r w:rsidR="009C5D44" w:rsidRPr="009C5D44">
        <w:rPr>
          <w:rFonts w:ascii="Calibri" w:hAnsi="Calibri" w:cs="Calibri"/>
          <w:szCs w:val="22"/>
        </w:rPr>
        <w:t xml:space="preserve"> TDD mode</w:t>
      </w:r>
      <w:r w:rsidR="009C5D44">
        <w:rPr>
          <w:rFonts w:ascii="Calibri" w:hAnsi="Calibri" w:cs="Calibri"/>
          <w:szCs w:val="22"/>
        </w:rPr>
        <w:t xml:space="preserve"> based on the outcome of the study.</w:t>
      </w:r>
    </w:p>
    <w:p w:rsidR="00066321" w:rsidRDefault="00066321" w:rsidP="00E22139">
      <w:pPr>
        <w:pStyle w:val="LGTdoc0"/>
        <w:spacing w:afterLines="0" w:after="0" w:line="240" w:lineRule="auto"/>
        <w:rPr>
          <w:rFonts w:ascii="Calibri" w:hAnsi="Calibri" w:cs="Calibri"/>
          <w:szCs w:val="22"/>
        </w:rPr>
      </w:pPr>
    </w:p>
    <w:p w:rsidR="00AB711C" w:rsidRPr="00AB711C" w:rsidRDefault="00AB711C" w:rsidP="00985EFB">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RAN1 starts the normative work of specifying </w:t>
      </w:r>
      <w:r w:rsidR="00500A6B" w:rsidRPr="00500A6B">
        <w:rPr>
          <w:rFonts w:ascii="Calibri" w:hAnsi="Calibri" w:cs="Calibri"/>
          <w:b/>
          <w:i/>
          <w:szCs w:val="22"/>
        </w:rPr>
        <w:t>the IoT-NTN TDD mode based on the outcome of the study</w:t>
      </w:r>
      <w:r w:rsidR="00500A6B">
        <w:rPr>
          <w:rFonts w:ascii="Calibri" w:hAnsi="Calibri" w:cs="Calibri"/>
          <w:b/>
          <w:i/>
          <w:szCs w:val="22"/>
        </w:rPr>
        <w:t>.</w:t>
      </w:r>
    </w:p>
    <w:p w:rsidR="006A262D" w:rsidRPr="00E74DB3" w:rsidRDefault="006A262D" w:rsidP="006A262D">
      <w:pPr>
        <w:pStyle w:val="LGTdoc0"/>
        <w:spacing w:afterLines="0" w:after="0" w:line="240" w:lineRule="auto"/>
        <w:rPr>
          <w:rFonts w:eastAsia="DengXian"/>
          <w:lang w:eastAsia="zh-CN"/>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Default="007000D9" w:rsidP="007000D9">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796F3B">
        <w:rPr>
          <w:rFonts w:ascii="Calibri" w:hAnsi="Calibri" w:cs="Calibri"/>
          <w:szCs w:val="22"/>
        </w:rPr>
        <w:t xml:space="preserve">the </w:t>
      </w:r>
      <w:r w:rsidR="00842B45">
        <w:rPr>
          <w:rFonts w:ascii="Calibri" w:hAnsi="Calibri" w:cs="Calibri"/>
          <w:szCs w:val="22"/>
        </w:rPr>
        <w:t xml:space="preserve">completion of </w:t>
      </w:r>
      <w:r w:rsidR="00796F3B">
        <w:rPr>
          <w:rFonts w:ascii="Calibri" w:hAnsi="Calibri" w:cs="Calibri"/>
          <w:szCs w:val="22"/>
        </w:rPr>
        <w:t xml:space="preserve">study phase of TDD pattern impact and the start of the normative work </w:t>
      </w:r>
      <w:r w:rsidR="00117AC4">
        <w:rPr>
          <w:rFonts w:ascii="Calibri" w:hAnsi="Calibri" w:cs="Calibri"/>
          <w:szCs w:val="22"/>
        </w:rPr>
        <w:t xml:space="preserve">of </w:t>
      </w:r>
      <w:r w:rsidR="00796F3B">
        <w:rPr>
          <w:rFonts w:ascii="Calibri" w:hAnsi="Calibri" w:cs="Calibri"/>
          <w:szCs w:val="22"/>
        </w:rPr>
        <w:t xml:space="preserve">specifying </w:t>
      </w:r>
      <w:r w:rsidR="00117AC4">
        <w:rPr>
          <w:rFonts w:ascii="Calibri" w:hAnsi="Calibri" w:cs="Calibri"/>
          <w:szCs w:val="22"/>
        </w:rPr>
        <w:t xml:space="preserve">the </w:t>
      </w:r>
      <w:r w:rsidR="00796F3B" w:rsidRPr="00796F3B">
        <w:rPr>
          <w:rFonts w:ascii="Calibri" w:hAnsi="Calibri" w:cs="Calibri"/>
          <w:szCs w:val="22"/>
        </w:rPr>
        <w:t>IoT-NTN TDD mode</w:t>
      </w:r>
      <w:r w:rsidR="00667819">
        <w:rPr>
          <w:rFonts w:ascii="Calibri" w:hAnsi="Calibri" w:cs="Calibri"/>
          <w:szCs w:val="22"/>
        </w:rPr>
        <w:t>.</w:t>
      </w:r>
      <w:r w:rsidRPr="0038253B">
        <w:rPr>
          <w:rFonts w:ascii="Calibri" w:hAnsi="Calibri" w:cs="Calibri"/>
          <w:szCs w:val="22"/>
        </w:rPr>
        <w:t xml:space="preserve"> The following </w:t>
      </w:r>
      <w:r w:rsidR="00667819">
        <w:rPr>
          <w:rFonts w:ascii="Calibri" w:hAnsi="Calibri" w:cs="Calibri"/>
          <w:szCs w:val="22"/>
        </w:rPr>
        <w:t>proposal</w:t>
      </w:r>
      <w:r w:rsidRPr="0038253B">
        <w:rPr>
          <w:rFonts w:ascii="Calibri" w:hAnsi="Calibri" w:cs="Calibri"/>
          <w:szCs w:val="22"/>
        </w:rPr>
        <w:t xml:space="preserve"> </w:t>
      </w:r>
      <w:r w:rsidR="005566A7">
        <w:rPr>
          <w:rFonts w:ascii="Calibri" w:hAnsi="Calibri" w:cs="Calibri"/>
          <w:szCs w:val="22"/>
        </w:rPr>
        <w:t>is</w:t>
      </w:r>
      <w:r w:rsidR="00667819">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6E43B8" w:rsidRPr="00AB711C" w:rsidRDefault="006E43B8" w:rsidP="006E43B8">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RAN1 starts the normative work of specifying </w:t>
      </w:r>
      <w:r w:rsidRPr="00500A6B">
        <w:rPr>
          <w:rFonts w:ascii="Calibri" w:hAnsi="Calibri" w:cs="Calibri"/>
          <w:b/>
          <w:i/>
          <w:szCs w:val="22"/>
        </w:rPr>
        <w:t>the IoT-NTN TDD mode based on the outcome of the study</w:t>
      </w:r>
      <w:r>
        <w:rPr>
          <w:rFonts w:ascii="Calibri" w:hAnsi="Calibri" w:cs="Calibri"/>
          <w:b/>
          <w:i/>
          <w:szCs w:val="22"/>
        </w:rPr>
        <w:t>.</w:t>
      </w:r>
    </w:p>
    <w:p w:rsidR="00295768" w:rsidRPr="006E43B8" w:rsidRDefault="00295768" w:rsidP="005B3B3A">
      <w:pPr>
        <w:pStyle w:val="LGTdoc0"/>
        <w:spacing w:afterLines="0" w:after="0" w:line="240" w:lineRule="auto"/>
        <w:rPr>
          <w:rFonts w:ascii="Calibri" w:hAnsi="Calibri" w:cs="Calibri"/>
          <w:b/>
          <w:i/>
          <w:szCs w:val="22"/>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Pr="0032535A" w:rsidRDefault="00623461" w:rsidP="007000D9">
      <w:pPr>
        <w:pStyle w:val="LGTdoc0"/>
        <w:spacing w:afterLines="0" w:after="0" w:line="240" w:lineRule="auto"/>
        <w:rPr>
          <w:rFonts w:ascii="Calibri" w:hAnsi="Calibri" w:cs="Calibri"/>
          <w:szCs w:val="22"/>
          <w:lang w:val="en-US"/>
        </w:rPr>
      </w:pPr>
      <w:r w:rsidRPr="003D1CDE">
        <w:rPr>
          <w:rFonts w:ascii="Calibri" w:hAnsi="Calibri" w:cs="Calibri"/>
          <w:szCs w:val="22"/>
        </w:rPr>
        <w:t xml:space="preserve">[1] </w:t>
      </w:r>
      <w:r w:rsidR="002A158B" w:rsidRPr="002A158B">
        <w:rPr>
          <w:rFonts w:ascii="Calibri" w:hAnsi="Calibri" w:cs="Calibri"/>
          <w:szCs w:val="22"/>
        </w:rPr>
        <w:t>RP-242415</w:t>
      </w:r>
      <w:r w:rsidR="0032535A" w:rsidRPr="0032535A">
        <w:rPr>
          <w:rFonts w:ascii="Calibri" w:hAnsi="Calibri" w:cs="Calibri"/>
          <w:szCs w:val="22"/>
        </w:rPr>
        <w:t>, “</w:t>
      </w:r>
      <w:r w:rsidR="00B77598" w:rsidRPr="00B77598">
        <w:rPr>
          <w:rFonts w:ascii="Calibri" w:hAnsi="Calibri" w:cs="Calibri"/>
          <w:szCs w:val="22"/>
        </w:rPr>
        <w:t>New WID on introduction of IoT-NTN TDD mode</w:t>
      </w:r>
      <w:r w:rsidR="0032535A" w:rsidRPr="0032535A">
        <w:rPr>
          <w:rFonts w:ascii="Calibri" w:hAnsi="Calibri" w:cs="Calibri"/>
          <w:szCs w:val="22"/>
        </w:rPr>
        <w:t xml:space="preserve">,” </w:t>
      </w:r>
      <w:r w:rsidR="006D711E" w:rsidRPr="006D711E">
        <w:rPr>
          <w:rFonts w:ascii="Calibri" w:hAnsi="Calibri" w:cs="Calibri"/>
          <w:szCs w:val="22"/>
        </w:rPr>
        <w:t>Moderator (RAN1 Vice-Chair)</w:t>
      </w:r>
      <w:r w:rsidR="0032535A" w:rsidRPr="0032535A">
        <w:rPr>
          <w:rFonts w:ascii="Calibri" w:hAnsi="Calibri" w:cs="Calibri"/>
          <w:szCs w:val="22"/>
        </w:rPr>
        <w:t>.</w:t>
      </w:r>
    </w:p>
    <w:sectPr w:rsidR="00623461" w:rsidRPr="0032535A"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D22" w:rsidRDefault="00F14D22">
      <w:r>
        <w:separator/>
      </w:r>
    </w:p>
  </w:endnote>
  <w:endnote w:type="continuationSeparator" w:id="0">
    <w:p w:rsidR="00F14D22" w:rsidRDefault="00F1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41517">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D22" w:rsidRDefault="00F14D22">
      <w:r>
        <w:separator/>
      </w:r>
    </w:p>
  </w:footnote>
  <w:footnote w:type="continuationSeparator" w:id="0">
    <w:p w:rsidR="00F14D22" w:rsidRDefault="00F14D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145A0360"/>
    <w:multiLevelType w:val="hybridMultilevel"/>
    <w:tmpl w:val="2DDE1AB6"/>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C12FDB"/>
    <w:multiLevelType w:val="multilevel"/>
    <w:tmpl w:val="F4EEF2B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C87AE4"/>
    <w:multiLevelType w:val="hybridMultilevel"/>
    <w:tmpl w:val="90545F4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2"/>
  </w:num>
  <w:num w:numId="3">
    <w:abstractNumId w:val="16"/>
  </w:num>
  <w:num w:numId="4">
    <w:abstractNumId w:val="17"/>
  </w:num>
  <w:num w:numId="5">
    <w:abstractNumId w:val="7"/>
  </w:num>
  <w:num w:numId="6">
    <w:abstractNumId w:val="13"/>
  </w:num>
  <w:num w:numId="7">
    <w:abstractNumId w:val="5"/>
  </w:num>
  <w:num w:numId="8">
    <w:abstractNumId w:val="8"/>
  </w:num>
  <w:num w:numId="9">
    <w:abstractNumId w:val="15"/>
  </w:num>
  <w:num w:numId="10">
    <w:abstractNumId w:val="6"/>
  </w:num>
  <w:num w:numId="11">
    <w:abstractNumId w:val="0"/>
  </w:num>
  <w:num w:numId="12">
    <w:abstractNumId w:val="11"/>
  </w:num>
  <w:num w:numId="13">
    <w:abstractNumId w:val="14"/>
  </w:num>
  <w:num w:numId="14">
    <w:abstractNumId w:val="10"/>
  </w:num>
  <w:num w:numId="15">
    <w:abstractNumId w:val="2"/>
  </w:num>
  <w:num w:numId="16">
    <w:abstractNumId w:val="3"/>
  </w:num>
  <w:num w:numId="17">
    <w:abstractNumId w:val="9"/>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8E0"/>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446F"/>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3DB3"/>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2FA2"/>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3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77BC8"/>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09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D38"/>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A7EB0"/>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CBB"/>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0FE"/>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45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188"/>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4F1C"/>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6D2"/>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AC4"/>
    <w:rsid w:val="00117B47"/>
    <w:rsid w:val="001208F1"/>
    <w:rsid w:val="00120F87"/>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19"/>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E1A"/>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4951"/>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72C"/>
    <w:rsid w:val="00183DF9"/>
    <w:rsid w:val="00184678"/>
    <w:rsid w:val="00184A49"/>
    <w:rsid w:val="00184BB4"/>
    <w:rsid w:val="00184E53"/>
    <w:rsid w:val="00184EFB"/>
    <w:rsid w:val="00185104"/>
    <w:rsid w:val="001854EA"/>
    <w:rsid w:val="001855C0"/>
    <w:rsid w:val="00185620"/>
    <w:rsid w:val="00185913"/>
    <w:rsid w:val="0018591D"/>
    <w:rsid w:val="001864D4"/>
    <w:rsid w:val="001865AB"/>
    <w:rsid w:val="00186F5B"/>
    <w:rsid w:val="00186FB9"/>
    <w:rsid w:val="00187AD5"/>
    <w:rsid w:val="00187EB3"/>
    <w:rsid w:val="001907F4"/>
    <w:rsid w:val="00190FC5"/>
    <w:rsid w:val="0019105C"/>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4A07"/>
    <w:rsid w:val="0019547C"/>
    <w:rsid w:val="00195786"/>
    <w:rsid w:val="00195B45"/>
    <w:rsid w:val="00195F60"/>
    <w:rsid w:val="00196248"/>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9D7"/>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43C"/>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658"/>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D66"/>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111"/>
    <w:rsid w:val="002212FF"/>
    <w:rsid w:val="002213BD"/>
    <w:rsid w:val="0022168B"/>
    <w:rsid w:val="0022193B"/>
    <w:rsid w:val="00221F50"/>
    <w:rsid w:val="00222182"/>
    <w:rsid w:val="00222605"/>
    <w:rsid w:val="00222999"/>
    <w:rsid w:val="00222F9D"/>
    <w:rsid w:val="002230B5"/>
    <w:rsid w:val="00223262"/>
    <w:rsid w:val="00223EE5"/>
    <w:rsid w:val="00224301"/>
    <w:rsid w:val="00224333"/>
    <w:rsid w:val="00224E49"/>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92"/>
    <w:rsid w:val="002412B9"/>
    <w:rsid w:val="0024196B"/>
    <w:rsid w:val="002419F3"/>
    <w:rsid w:val="00241F99"/>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537"/>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73"/>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840"/>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4E48"/>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1779"/>
    <w:rsid w:val="002828AB"/>
    <w:rsid w:val="00282DF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5768"/>
    <w:rsid w:val="0029614D"/>
    <w:rsid w:val="00296C6C"/>
    <w:rsid w:val="00296E78"/>
    <w:rsid w:val="002970D0"/>
    <w:rsid w:val="00297455"/>
    <w:rsid w:val="00297568"/>
    <w:rsid w:val="002977D3"/>
    <w:rsid w:val="00297DB0"/>
    <w:rsid w:val="00297FA5"/>
    <w:rsid w:val="002A0D18"/>
    <w:rsid w:val="002A0F6F"/>
    <w:rsid w:val="002A158B"/>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AC8"/>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AEF"/>
    <w:rsid w:val="002C3BCA"/>
    <w:rsid w:val="002C4425"/>
    <w:rsid w:val="002C47F0"/>
    <w:rsid w:val="002C4B5A"/>
    <w:rsid w:val="002C5049"/>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09"/>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B38"/>
    <w:rsid w:val="002D7C9A"/>
    <w:rsid w:val="002D7DF8"/>
    <w:rsid w:val="002E0097"/>
    <w:rsid w:val="002E0308"/>
    <w:rsid w:val="002E07D6"/>
    <w:rsid w:val="002E0940"/>
    <w:rsid w:val="002E09D0"/>
    <w:rsid w:val="002E0BEB"/>
    <w:rsid w:val="002E0DB4"/>
    <w:rsid w:val="002E0F8D"/>
    <w:rsid w:val="002E10BF"/>
    <w:rsid w:val="002E115F"/>
    <w:rsid w:val="002E195E"/>
    <w:rsid w:val="002E198C"/>
    <w:rsid w:val="002E19ED"/>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9DF"/>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689"/>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354"/>
    <w:rsid w:val="0032535A"/>
    <w:rsid w:val="0032557C"/>
    <w:rsid w:val="00325600"/>
    <w:rsid w:val="00325998"/>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94F"/>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C7D4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548"/>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4F"/>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86"/>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2EAE"/>
    <w:rsid w:val="004232CA"/>
    <w:rsid w:val="004233DC"/>
    <w:rsid w:val="00423B26"/>
    <w:rsid w:val="00423F42"/>
    <w:rsid w:val="0042436C"/>
    <w:rsid w:val="0042457E"/>
    <w:rsid w:val="00424BA2"/>
    <w:rsid w:val="00424D77"/>
    <w:rsid w:val="00425111"/>
    <w:rsid w:val="004255FF"/>
    <w:rsid w:val="004256C1"/>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47F"/>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5"/>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0D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3C07"/>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A6B"/>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1DF"/>
    <w:rsid w:val="005034F7"/>
    <w:rsid w:val="00503F12"/>
    <w:rsid w:val="0050407A"/>
    <w:rsid w:val="00504984"/>
    <w:rsid w:val="00504C64"/>
    <w:rsid w:val="0050523E"/>
    <w:rsid w:val="00505EDE"/>
    <w:rsid w:val="00506640"/>
    <w:rsid w:val="00506681"/>
    <w:rsid w:val="0050699D"/>
    <w:rsid w:val="00506EC9"/>
    <w:rsid w:val="005071E9"/>
    <w:rsid w:val="005077BD"/>
    <w:rsid w:val="005077F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22"/>
    <w:rsid w:val="00520996"/>
    <w:rsid w:val="00521006"/>
    <w:rsid w:val="00521409"/>
    <w:rsid w:val="00521506"/>
    <w:rsid w:val="0052154B"/>
    <w:rsid w:val="00521AEA"/>
    <w:rsid w:val="00521C1C"/>
    <w:rsid w:val="00521C64"/>
    <w:rsid w:val="00521D89"/>
    <w:rsid w:val="00521FD9"/>
    <w:rsid w:val="0052221F"/>
    <w:rsid w:val="00522378"/>
    <w:rsid w:val="005227D2"/>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1517"/>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6A7"/>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2B"/>
    <w:rsid w:val="00566EC9"/>
    <w:rsid w:val="005678B4"/>
    <w:rsid w:val="00567919"/>
    <w:rsid w:val="00567AA7"/>
    <w:rsid w:val="00567F3D"/>
    <w:rsid w:val="005700C5"/>
    <w:rsid w:val="005702C6"/>
    <w:rsid w:val="00570486"/>
    <w:rsid w:val="00570796"/>
    <w:rsid w:val="00570961"/>
    <w:rsid w:val="00570A70"/>
    <w:rsid w:val="00570DDB"/>
    <w:rsid w:val="00571348"/>
    <w:rsid w:val="00571C4F"/>
    <w:rsid w:val="00571C63"/>
    <w:rsid w:val="00571DC2"/>
    <w:rsid w:val="00572376"/>
    <w:rsid w:val="005725EF"/>
    <w:rsid w:val="00572CBF"/>
    <w:rsid w:val="00572DA4"/>
    <w:rsid w:val="00572E42"/>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7B"/>
    <w:rsid w:val="00580BAE"/>
    <w:rsid w:val="00580D3A"/>
    <w:rsid w:val="00580F29"/>
    <w:rsid w:val="0058104B"/>
    <w:rsid w:val="005814AB"/>
    <w:rsid w:val="00581A24"/>
    <w:rsid w:val="00581A3C"/>
    <w:rsid w:val="005822FA"/>
    <w:rsid w:val="005825B1"/>
    <w:rsid w:val="005828AF"/>
    <w:rsid w:val="00582CD6"/>
    <w:rsid w:val="00582FAD"/>
    <w:rsid w:val="00583125"/>
    <w:rsid w:val="005833A2"/>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CDF"/>
    <w:rsid w:val="005B0E5D"/>
    <w:rsid w:val="005B128B"/>
    <w:rsid w:val="005B12B9"/>
    <w:rsid w:val="005B12D3"/>
    <w:rsid w:val="005B1601"/>
    <w:rsid w:val="005B18F0"/>
    <w:rsid w:val="005B20ED"/>
    <w:rsid w:val="005B211E"/>
    <w:rsid w:val="005B277F"/>
    <w:rsid w:val="005B2D4F"/>
    <w:rsid w:val="005B3B3A"/>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6DD"/>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021"/>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5E74"/>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978"/>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8F9"/>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3AD"/>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4978"/>
    <w:rsid w:val="0066537E"/>
    <w:rsid w:val="00665577"/>
    <w:rsid w:val="006656CF"/>
    <w:rsid w:val="0066571C"/>
    <w:rsid w:val="00665819"/>
    <w:rsid w:val="0066588F"/>
    <w:rsid w:val="006659A0"/>
    <w:rsid w:val="00665BAA"/>
    <w:rsid w:val="00665DD5"/>
    <w:rsid w:val="00666A38"/>
    <w:rsid w:val="00666E3C"/>
    <w:rsid w:val="00667819"/>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3F66"/>
    <w:rsid w:val="006743E1"/>
    <w:rsid w:val="00674809"/>
    <w:rsid w:val="00674966"/>
    <w:rsid w:val="00674A09"/>
    <w:rsid w:val="0067547A"/>
    <w:rsid w:val="006756D4"/>
    <w:rsid w:val="0067589B"/>
    <w:rsid w:val="00675A37"/>
    <w:rsid w:val="00675C7A"/>
    <w:rsid w:val="00676699"/>
    <w:rsid w:val="00676A1F"/>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62D"/>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4E3"/>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1E"/>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3B8"/>
    <w:rsid w:val="006E4A4B"/>
    <w:rsid w:val="006E4B2A"/>
    <w:rsid w:val="006E4BE5"/>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26D"/>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6EC1"/>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8ED"/>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645"/>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6F3B"/>
    <w:rsid w:val="00797184"/>
    <w:rsid w:val="007972EB"/>
    <w:rsid w:val="00797349"/>
    <w:rsid w:val="0079768A"/>
    <w:rsid w:val="00797851"/>
    <w:rsid w:val="00797A06"/>
    <w:rsid w:val="00797A9F"/>
    <w:rsid w:val="007A043A"/>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6B0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24C"/>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A21"/>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C98"/>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674"/>
    <w:rsid w:val="008019EC"/>
    <w:rsid w:val="00801D96"/>
    <w:rsid w:val="008020CC"/>
    <w:rsid w:val="008021B8"/>
    <w:rsid w:val="0080323C"/>
    <w:rsid w:val="008036CF"/>
    <w:rsid w:val="00803701"/>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50D"/>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5A7"/>
    <w:rsid w:val="00811A42"/>
    <w:rsid w:val="008120AE"/>
    <w:rsid w:val="00812221"/>
    <w:rsid w:val="00812337"/>
    <w:rsid w:val="00812710"/>
    <w:rsid w:val="0081282C"/>
    <w:rsid w:val="00812865"/>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17E38"/>
    <w:rsid w:val="0082039A"/>
    <w:rsid w:val="0082054C"/>
    <w:rsid w:val="008205BC"/>
    <w:rsid w:val="00820966"/>
    <w:rsid w:val="00820C74"/>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BE6"/>
    <w:rsid w:val="00840CE7"/>
    <w:rsid w:val="00840D92"/>
    <w:rsid w:val="00840EB1"/>
    <w:rsid w:val="00841732"/>
    <w:rsid w:val="00841A7C"/>
    <w:rsid w:val="0084280F"/>
    <w:rsid w:val="00842A0B"/>
    <w:rsid w:val="00842A17"/>
    <w:rsid w:val="00842B45"/>
    <w:rsid w:val="00842C9F"/>
    <w:rsid w:val="00842CBC"/>
    <w:rsid w:val="00843213"/>
    <w:rsid w:val="0084395B"/>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537"/>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6B"/>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559"/>
    <w:rsid w:val="008D3690"/>
    <w:rsid w:val="008D3718"/>
    <w:rsid w:val="008D39B5"/>
    <w:rsid w:val="008D4066"/>
    <w:rsid w:val="008D4269"/>
    <w:rsid w:val="008D43CE"/>
    <w:rsid w:val="008D4446"/>
    <w:rsid w:val="008D46A8"/>
    <w:rsid w:val="008D46CF"/>
    <w:rsid w:val="008D47E4"/>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088"/>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285"/>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0F66"/>
    <w:rsid w:val="009210E7"/>
    <w:rsid w:val="009211B5"/>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6B7"/>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69F"/>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6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9F7"/>
    <w:rsid w:val="00971AFE"/>
    <w:rsid w:val="00971B21"/>
    <w:rsid w:val="00971D0F"/>
    <w:rsid w:val="00971F3D"/>
    <w:rsid w:val="00972453"/>
    <w:rsid w:val="00972904"/>
    <w:rsid w:val="00972B09"/>
    <w:rsid w:val="00972E10"/>
    <w:rsid w:val="00973112"/>
    <w:rsid w:val="009739CA"/>
    <w:rsid w:val="00973B9F"/>
    <w:rsid w:val="00973CD9"/>
    <w:rsid w:val="00973D59"/>
    <w:rsid w:val="00973F03"/>
    <w:rsid w:val="009744DC"/>
    <w:rsid w:val="00974578"/>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5EFB"/>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79B4"/>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8F6"/>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D44"/>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E33"/>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73C"/>
    <w:rsid w:val="009E5883"/>
    <w:rsid w:val="009E6068"/>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D6"/>
    <w:rsid w:val="00A1131B"/>
    <w:rsid w:val="00A113DC"/>
    <w:rsid w:val="00A11893"/>
    <w:rsid w:val="00A11B01"/>
    <w:rsid w:val="00A11CF9"/>
    <w:rsid w:val="00A12597"/>
    <w:rsid w:val="00A1262D"/>
    <w:rsid w:val="00A12736"/>
    <w:rsid w:val="00A12E6F"/>
    <w:rsid w:val="00A13725"/>
    <w:rsid w:val="00A139F7"/>
    <w:rsid w:val="00A13B92"/>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B14"/>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7E3"/>
    <w:rsid w:val="00A6482A"/>
    <w:rsid w:val="00A64A7C"/>
    <w:rsid w:val="00A653DE"/>
    <w:rsid w:val="00A65A62"/>
    <w:rsid w:val="00A65E0C"/>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2C0"/>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221"/>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1B"/>
    <w:rsid w:val="00AB4122"/>
    <w:rsid w:val="00AB458F"/>
    <w:rsid w:val="00AB4BAD"/>
    <w:rsid w:val="00AB53D8"/>
    <w:rsid w:val="00AB5A89"/>
    <w:rsid w:val="00AB6B37"/>
    <w:rsid w:val="00AB6B7C"/>
    <w:rsid w:val="00AB6E18"/>
    <w:rsid w:val="00AB6E42"/>
    <w:rsid w:val="00AB70CD"/>
    <w:rsid w:val="00AB711C"/>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7DB"/>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4AAD"/>
    <w:rsid w:val="00AD506C"/>
    <w:rsid w:val="00AD55D1"/>
    <w:rsid w:val="00AD5A09"/>
    <w:rsid w:val="00AD5E86"/>
    <w:rsid w:val="00AD5F7D"/>
    <w:rsid w:val="00AD6453"/>
    <w:rsid w:val="00AD6537"/>
    <w:rsid w:val="00AD6CD4"/>
    <w:rsid w:val="00AD7034"/>
    <w:rsid w:val="00AD7150"/>
    <w:rsid w:val="00AD7368"/>
    <w:rsid w:val="00AD7AD8"/>
    <w:rsid w:val="00AD7B0B"/>
    <w:rsid w:val="00AE0403"/>
    <w:rsid w:val="00AE040B"/>
    <w:rsid w:val="00AE0D2C"/>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29D"/>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77598"/>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9B1"/>
    <w:rsid w:val="00B90F6E"/>
    <w:rsid w:val="00B9117F"/>
    <w:rsid w:val="00B911BD"/>
    <w:rsid w:val="00B912E5"/>
    <w:rsid w:val="00B9180F"/>
    <w:rsid w:val="00B918A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8F8"/>
    <w:rsid w:val="00B95B16"/>
    <w:rsid w:val="00B96753"/>
    <w:rsid w:val="00B967D6"/>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5FF"/>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B60"/>
    <w:rsid w:val="00BC3D84"/>
    <w:rsid w:val="00BC3FF2"/>
    <w:rsid w:val="00BC401A"/>
    <w:rsid w:val="00BC429A"/>
    <w:rsid w:val="00BC4330"/>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31A1"/>
    <w:rsid w:val="00BE32AB"/>
    <w:rsid w:val="00BE333A"/>
    <w:rsid w:val="00BE360D"/>
    <w:rsid w:val="00BE3660"/>
    <w:rsid w:val="00BE3826"/>
    <w:rsid w:val="00BE3E04"/>
    <w:rsid w:val="00BE3E89"/>
    <w:rsid w:val="00BE40C6"/>
    <w:rsid w:val="00BE4317"/>
    <w:rsid w:val="00BE4434"/>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70C"/>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C04"/>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518"/>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543"/>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22"/>
    <w:rsid w:val="00CE2D79"/>
    <w:rsid w:val="00CE2F8A"/>
    <w:rsid w:val="00CE31A8"/>
    <w:rsid w:val="00CE3396"/>
    <w:rsid w:val="00CE3440"/>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DCA"/>
    <w:rsid w:val="00CE7F07"/>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E4F"/>
    <w:rsid w:val="00CF3F32"/>
    <w:rsid w:val="00CF4024"/>
    <w:rsid w:val="00CF414F"/>
    <w:rsid w:val="00CF435F"/>
    <w:rsid w:val="00CF46F0"/>
    <w:rsid w:val="00CF477C"/>
    <w:rsid w:val="00CF4DBA"/>
    <w:rsid w:val="00CF51B2"/>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539"/>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690"/>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1D29"/>
    <w:rsid w:val="00D7217D"/>
    <w:rsid w:val="00D721B3"/>
    <w:rsid w:val="00D722F9"/>
    <w:rsid w:val="00D723A1"/>
    <w:rsid w:val="00D725A8"/>
    <w:rsid w:val="00D7264E"/>
    <w:rsid w:val="00D72C8E"/>
    <w:rsid w:val="00D733E8"/>
    <w:rsid w:val="00D73658"/>
    <w:rsid w:val="00D73BC8"/>
    <w:rsid w:val="00D74261"/>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0974"/>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5F99"/>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3E0F"/>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0E3"/>
    <w:rsid w:val="00DE44D0"/>
    <w:rsid w:val="00DE456D"/>
    <w:rsid w:val="00DE5175"/>
    <w:rsid w:val="00DE5208"/>
    <w:rsid w:val="00DE55A8"/>
    <w:rsid w:val="00DE55FD"/>
    <w:rsid w:val="00DE5903"/>
    <w:rsid w:val="00DE6246"/>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C27"/>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021"/>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6DC"/>
    <w:rsid w:val="00E50E09"/>
    <w:rsid w:val="00E50E83"/>
    <w:rsid w:val="00E511AB"/>
    <w:rsid w:val="00E51687"/>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289"/>
    <w:rsid w:val="00E614BC"/>
    <w:rsid w:val="00E61A46"/>
    <w:rsid w:val="00E62390"/>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DB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48B"/>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8A0"/>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087"/>
    <w:rsid w:val="00EA732C"/>
    <w:rsid w:val="00EA7DCC"/>
    <w:rsid w:val="00EA7E6F"/>
    <w:rsid w:val="00EB069F"/>
    <w:rsid w:val="00EB0718"/>
    <w:rsid w:val="00EB148E"/>
    <w:rsid w:val="00EB183F"/>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4EB"/>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AF2"/>
    <w:rsid w:val="00F05DCA"/>
    <w:rsid w:val="00F05DE0"/>
    <w:rsid w:val="00F06566"/>
    <w:rsid w:val="00F0760B"/>
    <w:rsid w:val="00F07958"/>
    <w:rsid w:val="00F07EF1"/>
    <w:rsid w:val="00F10CC1"/>
    <w:rsid w:val="00F111CD"/>
    <w:rsid w:val="00F1164A"/>
    <w:rsid w:val="00F11B75"/>
    <w:rsid w:val="00F13913"/>
    <w:rsid w:val="00F13B3D"/>
    <w:rsid w:val="00F146E3"/>
    <w:rsid w:val="00F14D22"/>
    <w:rsid w:val="00F150D7"/>
    <w:rsid w:val="00F15BD2"/>
    <w:rsid w:val="00F15BDF"/>
    <w:rsid w:val="00F1652C"/>
    <w:rsid w:val="00F16D1B"/>
    <w:rsid w:val="00F173D5"/>
    <w:rsid w:val="00F1746D"/>
    <w:rsid w:val="00F178C7"/>
    <w:rsid w:val="00F17D24"/>
    <w:rsid w:val="00F20043"/>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7F3"/>
    <w:rsid w:val="00F74B00"/>
    <w:rsid w:val="00F75904"/>
    <w:rsid w:val="00F75A8B"/>
    <w:rsid w:val="00F75D11"/>
    <w:rsid w:val="00F75FA3"/>
    <w:rsid w:val="00F769BB"/>
    <w:rsid w:val="00F76BB0"/>
    <w:rsid w:val="00F76FAB"/>
    <w:rsid w:val="00F77476"/>
    <w:rsid w:val="00F774BE"/>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45C"/>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829"/>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CEC"/>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EF2D8"/>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76167-9A0F-4A23-AAB0-4A050DAD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1915</Words>
  <Characters>10918</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12808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104</cp:revision>
  <cp:lastPrinted>2018-10-31T08:18:00Z</cp:lastPrinted>
  <dcterms:created xsi:type="dcterms:W3CDTF">2024-06-10T09:14:00Z</dcterms:created>
  <dcterms:modified xsi:type="dcterms:W3CDTF">2024-11-29T12:19:00Z</dcterms:modified>
</cp:coreProperties>
</file>